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color w:val="000000" w:themeColor="text1"/>
          <w:kern w:val="0"/>
          <w:sz w:val="84"/>
          <w:szCs w:val="84"/>
        </w:rPr>
      </w:pPr>
    </w:p>
    <w:p>
      <w:pPr>
        <w:spacing w:line="1000" w:lineRule="exact"/>
        <w:jc w:val="center"/>
        <w:rPr>
          <w:b/>
          <w:color w:val="000000" w:themeColor="text1"/>
          <w:w w:val="99"/>
          <w:kern w:val="0"/>
          <w:sz w:val="84"/>
          <w:szCs w:val="84"/>
        </w:rPr>
      </w:pPr>
      <w:r>
        <w:rPr>
          <w:rFonts w:hint="eastAsia"/>
          <w:b/>
          <w:color w:val="000000" w:themeColor="text1"/>
          <w:kern w:val="0"/>
          <w:sz w:val="84"/>
          <w:szCs w:val="84"/>
        </w:rPr>
        <w:t>长</w:t>
      </w:r>
      <w:r>
        <w:rPr>
          <w:rFonts w:hint="eastAsia"/>
          <w:b/>
          <w:color w:val="000000" w:themeColor="text1"/>
          <w:spacing w:val="5"/>
          <w:w w:val="70"/>
          <w:kern w:val="0"/>
          <w:sz w:val="84"/>
          <w:szCs w:val="84"/>
        </w:rPr>
        <w:t>江师范学</w:t>
      </w:r>
      <w:r>
        <w:rPr>
          <w:rFonts w:hint="eastAsia"/>
          <w:b/>
          <w:color w:val="000000" w:themeColor="text1"/>
          <w:spacing w:val="-19"/>
          <w:w w:val="70"/>
          <w:kern w:val="0"/>
          <w:sz w:val="84"/>
          <w:szCs w:val="84"/>
        </w:rPr>
        <w:t>院</w:t>
      </w:r>
    </w:p>
    <w:p>
      <w:pPr>
        <w:spacing w:line="1000" w:lineRule="exact"/>
        <w:jc w:val="center"/>
        <w:rPr>
          <w:b/>
          <w:color w:val="000000" w:themeColor="text1"/>
          <w:sz w:val="84"/>
          <w:szCs w:val="84"/>
        </w:rPr>
      </w:pPr>
      <w:r>
        <w:rPr>
          <w:rFonts w:hint="eastAsia"/>
          <w:b/>
          <w:color w:val="000000" w:themeColor="text1"/>
          <w:spacing w:val="278"/>
          <w:kern w:val="0"/>
          <w:sz w:val="84"/>
          <w:szCs w:val="84"/>
        </w:rPr>
        <w:t>招标文</w:t>
      </w:r>
      <w:r>
        <w:rPr>
          <w:rFonts w:hint="eastAsia"/>
          <w:b/>
          <w:color w:val="000000" w:themeColor="text1"/>
          <w:kern w:val="0"/>
          <w:sz w:val="84"/>
          <w:szCs w:val="84"/>
        </w:rPr>
        <w:t>件</w:t>
      </w: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600" w:lineRule="exact"/>
        <w:ind w:left="2125" w:leftChars="8" w:hanging="2108" w:hangingChars="700"/>
        <w:rPr>
          <w:rFonts w:hint="eastAsia"/>
          <w:b/>
          <w:color w:val="000000" w:themeColor="text1"/>
          <w:sz w:val="30"/>
          <w:szCs w:val="30"/>
        </w:rPr>
      </w:pPr>
      <w:r>
        <w:rPr>
          <w:rFonts w:hint="eastAsia"/>
          <w:b/>
          <w:color w:val="000000" w:themeColor="text1"/>
          <w:sz w:val="30"/>
          <w:szCs w:val="30"/>
        </w:rPr>
        <w:t>招标项目编号：18YZ019</w:t>
      </w:r>
    </w:p>
    <w:p>
      <w:pPr>
        <w:spacing w:line="600" w:lineRule="exact"/>
        <w:ind w:left="2125" w:leftChars="8" w:hanging="2108" w:hangingChars="700"/>
        <w:rPr>
          <w:b/>
          <w:color w:val="000000" w:themeColor="text1"/>
          <w:sz w:val="32"/>
          <w:szCs w:val="32"/>
        </w:rPr>
      </w:pPr>
      <w:r>
        <w:rPr>
          <w:rFonts w:hint="eastAsia"/>
          <w:b/>
          <w:color w:val="000000" w:themeColor="text1"/>
          <w:sz w:val="30"/>
          <w:szCs w:val="30"/>
        </w:rPr>
        <w:t>招标项目名称：长江师范学院南苑食府、接待中心联合经营项目</w:t>
      </w:r>
    </w:p>
    <w:p>
      <w:pPr>
        <w:spacing w:line="400" w:lineRule="exact"/>
        <w:jc w:val="center"/>
        <w:rPr>
          <w:color w:val="000000" w:themeColor="text1"/>
          <w:sz w:val="24"/>
          <w:szCs w:val="24"/>
        </w:rPr>
      </w:pPr>
    </w:p>
    <w:p>
      <w:pPr>
        <w:spacing w:line="400" w:lineRule="exact"/>
        <w:jc w:val="center"/>
        <w:rPr>
          <w:color w:val="000000" w:themeColor="text1"/>
          <w:sz w:val="24"/>
          <w:szCs w:val="24"/>
        </w:rPr>
      </w:pPr>
    </w:p>
    <w:p>
      <w:pPr>
        <w:spacing w:line="400" w:lineRule="exact"/>
        <w:jc w:val="center"/>
        <w:rPr>
          <w:color w:val="000000" w:themeColor="text1"/>
          <w:sz w:val="24"/>
          <w:szCs w:val="24"/>
        </w:rPr>
      </w:pPr>
    </w:p>
    <w:p>
      <w:pPr>
        <w:spacing w:line="400" w:lineRule="exact"/>
        <w:jc w:val="center"/>
        <w:rPr>
          <w:color w:val="000000" w:themeColor="text1"/>
          <w:sz w:val="24"/>
          <w:szCs w:val="24"/>
        </w:rPr>
      </w:pPr>
    </w:p>
    <w:p>
      <w:pPr>
        <w:spacing w:line="400" w:lineRule="exact"/>
        <w:jc w:val="center"/>
        <w:rPr>
          <w:color w:val="000000" w:themeColor="text1"/>
          <w:sz w:val="24"/>
          <w:szCs w:val="24"/>
        </w:rPr>
      </w:pPr>
    </w:p>
    <w:p>
      <w:pPr>
        <w:spacing w:line="400" w:lineRule="exact"/>
        <w:jc w:val="center"/>
        <w:rPr>
          <w:color w:val="000000" w:themeColor="text1"/>
          <w:sz w:val="24"/>
          <w:szCs w:val="24"/>
        </w:rPr>
      </w:pPr>
    </w:p>
    <w:p>
      <w:pPr>
        <w:spacing w:line="400" w:lineRule="exact"/>
        <w:jc w:val="center"/>
        <w:rPr>
          <w:color w:val="000000" w:themeColor="text1"/>
          <w:sz w:val="24"/>
          <w:szCs w:val="24"/>
        </w:rPr>
      </w:pPr>
    </w:p>
    <w:p>
      <w:pPr>
        <w:spacing w:line="400" w:lineRule="exact"/>
        <w:jc w:val="center"/>
        <w:rPr>
          <w:b/>
          <w:color w:val="000000" w:themeColor="text1"/>
          <w:sz w:val="28"/>
          <w:szCs w:val="28"/>
        </w:rPr>
      </w:pPr>
      <w:r>
        <w:rPr>
          <w:rFonts w:hint="eastAsia"/>
          <w:b/>
          <w:color w:val="000000" w:themeColor="text1"/>
          <w:sz w:val="28"/>
          <w:szCs w:val="28"/>
        </w:rPr>
        <w:t>采购人：长江师范学院</w:t>
      </w:r>
    </w:p>
    <w:p>
      <w:pPr>
        <w:spacing w:line="400" w:lineRule="exact"/>
        <w:jc w:val="center"/>
        <w:rPr>
          <w:b/>
          <w:color w:val="000000" w:themeColor="text1"/>
          <w:sz w:val="28"/>
          <w:szCs w:val="28"/>
        </w:rPr>
      </w:pPr>
      <w:r>
        <w:rPr>
          <w:rFonts w:hint="eastAsia"/>
          <w:b/>
          <w:color w:val="000000" w:themeColor="text1"/>
          <w:sz w:val="28"/>
          <w:szCs w:val="28"/>
        </w:rPr>
        <w:t>二〇一八年六月</w:t>
      </w:r>
    </w:p>
    <w:p>
      <w:pPr>
        <w:spacing w:line="400" w:lineRule="exact"/>
        <w:jc w:val="left"/>
        <w:rPr>
          <w:color w:val="000000" w:themeColor="text1"/>
          <w:sz w:val="24"/>
          <w:szCs w:val="24"/>
        </w:rPr>
      </w:pPr>
    </w:p>
    <w:p>
      <w:pPr>
        <w:jc w:val="center"/>
        <w:rPr>
          <w:rFonts w:ascii="宋体" w:hAnsi="宋体"/>
        </w:rPr>
      </w:pPr>
    </w:p>
    <w:sdt>
      <w:sdtPr>
        <w:rPr>
          <w:rFonts w:ascii="宋体" w:hAnsi="宋体"/>
        </w:rPr>
        <w:id w:val="147470771"/>
        <w:docPartObj>
          <w:docPartGallery w:val="Table of Contents"/>
          <w:docPartUnique/>
        </w:docPartObj>
      </w:sdtPr>
      <w:sdtEndPr>
        <w:rPr>
          <w:rFonts w:ascii="Calibri" w:hAnsi="Calibri"/>
          <w:color w:val="000000" w:themeColor="text1"/>
          <w:szCs w:val="24"/>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pPr>
          <w:r>
            <w:rPr>
              <w:rFonts w:ascii="宋体" w:hAnsi="宋体" w:eastAsia="宋体"/>
              <w:sz w:val="28"/>
              <w:szCs w:val="28"/>
            </w:rPr>
            <w:t>目</w:t>
          </w:r>
          <w:r>
            <w:rPr>
              <w:rFonts w:hint="eastAsia" w:ascii="宋体" w:hAnsi="宋体"/>
              <w:sz w:val="28"/>
              <w:szCs w:val="28"/>
              <w:lang w:val="en-US" w:eastAsia="zh-CN"/>
            </w:rPr>
            <w:t xml:space="preserve">        </w:t>
          </w:r>
          <w:r>
            <w:rPr>
              <w:rFonts w:ascii="宋体" w:hAnsi="宋体" w:eastAsia="宋体"/>
              <w:sz w:val="28"/>
              <w:szCs w:val="28"/>
            </w:rPr>
            <w:t>录</w:t>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 w:val="24"/>
              <w:szCs w:val="24"/>
            </w:rPr>
            <w:fldChar w:fldCharType="begin"/>
          </w:r>
          <w:r>
            <w:rPr>
              <w:color w:val="000000" w:themeColor="text1"/>
              <w:sz w:val="24"/>
              <w:szCs w:val="24"/>
            </w:rPr>
            <w:instrText xml:space="preserve">TOC \o "1-3" \h \u </w:instrText>
          </w:r>
          <w:r>
            <w:rPr>
              <w:color w:val="000000" w:themeColor="text1"/>
              <w:sz w:val="24"/>
              <w:szCs w:val="24"/>
            </w:rPr>
            <w:fldChar w:fldCharType="separate"/>
          </w:r>
          <w:r>
            <w:rPr>
              <w:color w:val="000000" w:themeColor="text1"/>
              <w:szCs w:val="24"/>
            </w:rPr>
            <w:fldChar w:fldCharType="begin"/>
          </w:r>
          <w:r>
            <w:rPr>
              <w:szCs w:val="24"/>
            </w:rPr>
            <w:instrText xml:space="preserve"> HYPERLINK \l _Toc3963 </w:instrText>
          </w:r>
          <w:r>
            <w:rPr>
              <w:szCs w:val="24"/>
            </w:rPr>
            <w:fldChar w:fldCharType="separate"/>
          </w:r>
          <w:r>
            <w:rPr>
              <w:rFonts w:hint="eastAsia"/>
              <w:szCs w:val="36"/>
            </w:rPr>
            <w:t>廉洁承诺书</w:t>
          </w:r>
          <w:r>
            <w:tab/>
          </w:r>
          <w:r>
            <w:fldChar w:fldCharType="begin"/>
          </w:r>
          <w:r>
            <w:instrText xml:space="preserve"> PAGEREF _Toc3963 </w:instrText>
          </w:r>
          <w:r>
            <w:fldChar w:fldCharType="separate"/>
          </w:r>
          <w:r>
            <w:t>3</w:t>
          </w:r>
          <w:r>
            <w:fldChar w:fldCharType="end"/>
          </w:r>
          <w:r>
            <w:rPr>
              <w:color w:val="000000" w:themeColor="text1"/>
              <w:szCs w:val="24"/>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_Toc31025 </w:instrText>
          </w:r>
          <w:r>
            <w:rPr>
              <w:szCs w:val="24"/>
            </w:rPr>
            <w:fldChar w:fldCharType="separate"/>
          </w:r>
          <w:r>
            <w:rPr>
              <w:rFonts w:hint="eastAsia"/>
              <w:szCs w:val="36"/>
            </w:rPr>
            <w:t>第一篇 投标邀请书</w:t>
          </w:r>
          <w:r>
            <w:tab/>
          </w:r>
          <w:r>
            <w:fldChar w:fldCharType="begin"/>
          </w:r>
          <w:r>
            <w:instrText xml:space="preserve"> PAGEREF _Toc31025 </w:instrText>
          </w:r>
          <w:r>
            <w:fldChar w:fldCharType="separate"/>
          </w:r>
          <w:r>
            <w:t>5</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_Toc12768 </w:instrText>
          </w:r>
          <w:r>
            <w:rPr>
              <w:szCs w:val="24"/>
            </w:rPr>
            <w:fldChar w:fldCharType="separate"/>
          </w:r>
          <w:r>
            <w:rPr>
              <w:rFonts w:hint="eastAsia"/>
              <w:szCs w:val="28"/>
            </w:rPr>
            <w:t>一、招标项目内容</w:t>
          </w:r>
          <w:r>
            <w:tab/>
          </w:r>
          <w:r>
            <w:fldChar w:fldCharType="begin"/>
          </w:r>
          <w:r>
            <w:instrText xml:space="preserve"> PAGEREF _Toc12768 </w:instrText>
          </w:r>
          <w:r>
            <w:fldChar w:fldCharType="separate"/>
          </w:r>
          <w:r>
            <w:t>5</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_Toc31570 </w:instrText>
          </w:r>
          <w:r>
            <w:rPr>
              <w:szCs w:val="24"/>
            </w:rPr>
            <w:fldChar w:fldCharType="separate"/>
          </w:r>
          <w:r>
            <w:rPr>
              <w:rFonts w:hint="eastAsia"/>
              <w:szCs w:val="28"/>
            </w:rPr>
            <w:t>二、投标人资格要求</w:t>
          </w:r>
          <w:r>
            <w:tab/>
          </w:r>
          <w:r>
            <w:fldChar w:fldCharType="begin"/>
          </w:r>
          <w:r>
            <w:instrText xml:space="preserve"> PAGEREF _Toc31570 </w:instrText>
          </w:r>
          <w:r>
            <w:fldChar w:fldCharType="separate"/>
          </w:r>
          <w:r>
            <w:t>5</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_Toc1456 </w:instrText>
          </w:r>
          <w:r>
            <w:rPr>
              <w:szCs w:val="24"/>
            </w:rPr>
            <w:fldChar w:fldCharType="separate"/>
          </w:r>
          <w:r>
            <w:rPr>
              <w:rFonts w:hint="eastAsia"/>
              <w:szCs w:val="28"/>
            </w:rPr>
            <w:t>三、投标、开标有关说明</w:t>
          </w:r>
          <w:r>
            <w:tab/>
          </w:r>
          <w:r>
            <w:fldChar w:fldCharType="begin"/>
          </w:r>
          <w:r>
            <w:instrText xml:space="preserve"> PAGEREF _Toc1456 </w:instrText>
          </w:r>
          <w:r>
            <w:fldChar w:fldCharType="separate"/>
          </w:r>
          <w:r>
            <w:t>6</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_Toc12008 </w:instrText>
          </w:r>
          <w:r>
            <w:rPr>
              <w:szCs w:val="24"/>
            </w:rPr>
            <w:fldChar w:fldCharType="separate"/>
          </w:r>
          <w:r>
            <w:rPr>
              <w:rFonts w:hint="eastAsia"/>
              <w:szCs w:val="28"/>
            </w:rPr>
            <w:t>四、投标保证金</w:t>
          </w:r>
          <w:r>
            <w:tab/>
          </w:r>
          <w:r>
            <w:fldChar w:fldCharType="begin"/>
          </w:r>
          <w:r>
            <w:instrText xml:space="preserve"> PAGEREF _Toc12008 </w:instrText>
          </w:r>
          <w:r>
            <w:fldChar w:fldCharType="separate"/>
          </w:r>
          <w:r>
            <w:t>6</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_Toc9463 </w:instrText>
          </w:r>
          <w:r>
            <w:rPr>
              <w:szCs w:val="24"/>
            </w:rPr>
            <w:fldChar w:fldCharType="separate"/>
          </w:r>
          <w:r>
            <w:rPr>
              <w:rFonts w:hint="eastAsia"/>
              <w:szCs w:val="28"/>
            </w:rPr>
            <w:t>五、投标有关规定</w:t>
          </w:r>
          <w:r>
            <w:tab/>
          </w:r>
          <w:r>
            <w:fldChar w:fldCharType="begin"/>
          </w:r>
          <w:r>
            <w:instrText xml:space="preserve"> PAGEREF _Toc9463 </w:instrText>
          </w:r>
          <w:r>
            <w:fldChar w:fldCharType="separate"/>
          </w:r>
          <w:r>
            <w:t>7</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_Toc19861 </w:instrText>
          </w:r>
          <w:r>
            <w:rPr>
              <w:szCs w:val="24"/>
            </w:rPr>
            <w:fldChar w:fldCharType="separate"/>
          </w:r>
          <w:r>
            <w:rPr>
              <w:rFonts w:hint="eastAsia"/>
              <w:szCs w:val="28"/>
            </w:rPr>
            <w:t>六、联系方式</w:t>
          </w:r>
          <w:r>
            <w:tab/>
          </w:r>
          <w:r>
            <w:fldChar w:fldCharType="begin"/>
          </w:r>
          <w:r>
            <w:instrText xml:space="preserve"> PAGEREF _Toc19861 </w:instrText>
          </w:r>
          <w:r>
            <w:fldChar w:fldCharType="separate"/>
          </w:r>
          <w:r>
            <w:t>7</w:t>
          </w:r>
          <w:r>
            <w:fldChar w:fldCharType="end"/>
          </w:r>
          <w:r>
            <w:rPr>
              <w:color w:val="000000" w:themeColor="text1"/>
              <w:szCs w:val="24"/>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_Toc21388 </w:instrText>
          </w:r>
          <w:r>
            <w:rPr>
              <w:szCs w:val="24"/>
            </w:rPr>
            <w:fldChar w:fldCharType="separate"/>
          </w:r>
          <w:r>
            <w:rPr>
              <w:rFonts w:hint="eastAsia"/>
              <w:szCs w:val="32"/>
            </w:rPr>
            <w:t>第二篇联合经营南苑食府和接待中心投标经济与技术要求</w:t>
          </w:r>
          <w:r>
            <w:tab/>
          </w:r>
          <w:r>
            <w:fldChar w:fldCharType="begin"/>
          </w:r>
          <w:r>
            <w:instrText xml:space="preserve"> PAGEREF _Toc21388 </w:instrText>
          </w:r>
          <w:r>
            <w:fldChar w:fldCharType="separate"/>
          </w:r>
          <w:r>
            <w:t>8</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_Toc8612 </w:instrText>
          </w:r>
          <w:r>
            <w:rPr>
              <w:szCs w:val="24"/>
            </w:rPr>
            <w:fldChar w:fldCharType="separate"/>
          </w:r>
          <w:r>
            <w:rPr>
              <w:rFonts w:hint="eastAsia"/>
              <w:szCs w:val="24"/>
            </w:rPr>
            <w:t>一、招标项目</w:t>
          </w:r>
          <w:r>
            <w:tab/>
          </w:r>
          <w:r>
            <w:fldChar w:fldCharType="begin"/>
          </w:r>
          <w:r>
            <w:instrText xml:space="preserve"> PAGEREF _Toc8612 </w:instrText>
          </w:r>
          <w:r>
            <w:fldChar w:fldCharType="separate"/>
          </w:r>
          <w:r>
            <w:t>8</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_Toc14612 </w:instrText>
          </w:r>
          <w:r>
            <w:rPr>
              <w:szCs w:val="24"/>
            </w:rPr>
            <w:fldChar w:fldCharType="separate"/>
          </w:r>
          <w:r>
            <w:rPr>
              <w:rFonts w:hint="eastAsia"/>
              <w:szCs w:val="24"/>
            </w:rPr>
            <w:t>二、联合经营面积</w:t>
          </w:r>
          <w:r>
            <w:tab/>
          </w:r>
          <w:r>
            <w:fldChar w:fldCharType="begin"/>
          </w:r>
          <w:r>
            <w:instrText xml:space="preserve"> PAGEREF _Toc14612 </w:instrText>
          </w:r>
          <w:r>
            <w:fldChar w:fldCharType="separate"/>
          </w:r>
          <w:r>
            <w:t>8</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_Toc18567 </w:instrText>
          </w:r>
          <w:r>
            <w:rPr>
              <w:szCs w:val="24"/>
            </w:rPr>
            <w:fldChar w:fldCharType="separate"/>
          </w:r>
          <w:r>
            <w:rPr>
              <w:rFonts w:hint="eastAsia"/>
              <w:szCs w:val="24"/>
            </w:rPr>
            <w:t>三、联合经营时间</w:t>
          </w:r>
          <w:r>
            <w:tab/>
          </w:r>
          <w:r>
            <w:fldChar w:fldCharType="begin"/>
          </w:r>
          <w:r>
            <w:instrText xml:space="preserve"> PAGEREF _Toc18567 </w:instrText>
          </w:r>
          <w:r>
            <w:fldChar w:fldCharType="separate"/>
          </w:r>
          <w:r>
            <w:t>8</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_Toc18455 </w:instrText>
          </w:r>
          <w:r>
            <w:rPr>
              <w:szCs w:val="24"/>
            </w:rPr>
            <w:fldChar w:fldCharType="separate"/>
          </w:r>
          <w:r>
            <w:rPr>
              <w:rFonts w:hint="eastAsia"/>
              <w:szCs w:val="24"/>
            </w:rPr>
            <w:t>四、联合经营地点及要求</w:t>
          </w:r>
          <w:r>
            <w:tab/>
          </w:r>
          <w:r>
            <w:fldChar w:fldCharType="begin"/>
          </w:r>
          <w:r>
            <w:instrText xml:space="preserve"> PAGEREF _Toc18455 </w:instrText>
          </w:r>
          <w:r>
            <w:fldChar w:fldCharType="separate"/>
          </w:r>
          <w:r>
            <w:t>8</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_Toc29210 </w:instrText>
          </w:r>
          <w:r>
            <w:rPr>
              <w:szCs w:val="24"/>
            </w:rPr>
            <w:fldChar w:fldCharType="separate"/>
          </w:r>
          <w:r>
            <w:rPr>
              <w:rFonts w:hint="eastAsia"/>
              <w:szCs w:val="24"/>
            </w:rPr>
            <w:t>五、联合经营方式</w:t>
          </w:r>
          <w:r>
            <w:tab/>
          </w:r>
          <w:r>
            <w:fldChar w:fldCharType="begin"/>
          </w:r>
          <w:r>
            <w:instrText xml:space="preserve"> PAGEREF _Toc29210 </w:instrText>
          </w:r>
          <w:r>
            <w:fldChar w:fldCharType="separate"/>
          </w:r>
          <w:r>
            <w:t>8</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_Toc8874 </w:instrText>
          </w:r>
          <w:r>
            <w:rPr>
              <w:szCs w:val="24"/>
            </w:rPr>
            <w:fldChar w:fldCharType="separate"/>
          </w:r>
          <w:r>
            <w:rPr>
              <w:rFonts w:hint="eastAsia"/>
              <w:szCs w:val="24"/>
            </w:rPr>
            <w:t>六、联合经营的经济要求</w:t>
          </w:r>
          <w:r>
            <w:tab/>
          </w:r>
          <w:r>
            <w:fldChar w:fldCharType="begin"/>
          </w:r>
          <w:r>
            <w:instrText xml:space="preserve"> PAGEREF _Toc8874 </w:instrText>
          </w:r>
          <w:r>
            <w:fldChar w:fldCharType="separate"/>
          </w:r>
          <w:r>
            <w:t>8</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_Toc19232 </w:instrText>
          </w:r>
          <w:r>
            <w:rPr>
              <w:szCs w:val="24"/>
            </w:rPr>
            <w:fldChar w:fldCharType="separate"/>
          </w:r>
          <w:r>
            <w:rPr>
              <w:rFonts w:hint="eastAsia"/>
              <w:szCs w:val="24"/>
            </w:rPr>
            <w:t>七、联合经营的技术要求</w:t>
          </w:r>
          <w:r>
            <w:tab/>
          </w:r>
          <w:r>
            <w:fldChar w:fldCharType="begin"/>
          </w:r>
          <w:r>
            <w:instrText xml:space="preserve"> PAGEREF _Toc19232 </w:instrText>
          </w:r>
          <w:r>
            <w:fldChar w:fldCharType="separate"/>
          </w:r>
          <w:r>
            <w:t>9</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_Toc4476 </w:instrText>
          </w:r>
          <w:r>
            <w:rPr>
              <w:szCs w:val="24"/>
            </w:rPr>
            <w:fldChar w:fldCharType="separate"/>
          </w:r>
          <w:r>
            <w:rPr>
              <w:rFonts w:hint="eastAsia"/>
              <w:szCs w:val="24"/>
            </w:rPr>
            <w:t>八、特别要求</w:t>
          </w:r>
          <w:r>
            <w:tab/>
          </w:r>
          <w:r>
            <w:fldChar w:fldCharType="begin"/>
          </w:r>
          <w:r>
            <w:instrText xml:space="preserve"> PAGEREF _Toc4476 </w:instrText>
          </w:r>
          <w:r>
            <w:fldChar w:fldCharType="separate"/>
          </w:r>
          <w:r>
            <w:t>13</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_Toc29853 </w:instrText>
          </w:r>
          <w:r>
            <w:rPr>
              <w:szCs w:val="24"/>
            </w:rPr>
            <w:fldChar w:fldCharType="separate"/>
          </w:r>
          <w:r>
            <w:rPr>
              <w:rFonts w:hint="eastAsia"/>
              <w:szCs w:val="24"/>
            </w:rPr>
            <w:t>九、其他</w:t>
          </w:r>
          <w:r>
            <w:tab/>
          </w:r>
          <w:r>
            <w:fldChar w:fldCharType="begin"/>
          </w:r>
          <w:r>
            <w:instrText xml:space="preserve"> PAGEREF _Toc29853 </w:instrText>
          </w:r>
          <w:r>
            <w:fldChar w:fldCharType="separate"/>
          </w:r>
          <w:r>
            <w:t>13</w:t>
          </w:r>
          <w:r>
            <w:fldChar w:fldCharType="end"/>
          </w:r>
          <w:r>
            <w:rPr>
              <w:color w:val="000000" w:themeColor="text1"/>
              <w:szCs w:val="24"/>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_Toc2126 </w:instrText>
          </w:r>
          <w:r>
            <w:rPr>
              <w:szCs w:val="24"/>
            </w:rPr>
            <w:fldChar w:fldCharType="separate"/>
          </w:r>
          <w:r>
            <w:rPr>
              <w:rFonts w:hint="eastAsia"/>
              <w:szCs w:val="32"/>
            </w:rPr>
            <w:t>第三篇评标方法、评标标准、无效投标条款和废标条款</w:t>
          </w:r>
          <w:r>
            <w:tab/>
          </w:r>
          <w:r>
            <w:fldChar w:fldCharType="begin"/>
          </w:r>
          <w:r>
            <w:instrText xml:space="preserve"> PAGEREF _Toc2126 </w:instrText>
          </w:r>
          <w:r>
            <w:fldChar w:fldCharType="separate"/>
          </w:r>
          <w:r>
            <w:t>14</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_Toc14064 </w:instrText>
          </w:r>
          <w:r>
            <w:rPr>
              <w:szCs w:val="24"/>
            </w:rPr>
            <w:fldChar w:fldCharType="separate"/>
          </w:r>
          <w:r>
            <w:rPr>
              <w:rFonts w:hint="eastAsia"/>
              <w:szCs w:val="28"/>
            </w:rPr>
            <w:t>一、评标方法</w:t>
          </w:r>
          <w:r>
            <w:tab/>
          </w:r>
          <w:r>
            <w:fldChar w:fldCharType="begin"/>
          </w:r>
          <w:r>
            <w:instrText xml:space="preserve"> PAGEREF _Toc14064 </w:instrText>
          </w:r>
          <w:r>
            <w:fldChar w:fldCharType="separate"/>
          </w:r>
          <w:r>
            <w:t>14</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_Toc19224 </w:instrText>
          </w:r>
          <w:r>
            <w:rPr>
              <w:szCs w:val="24"/>
            </w:rPr>
            <w:fldChar w:fldCharType="separate"/>
          </w:r>
          <w:r>
            <w:rPr>
              <w:rFonts w:hint="eastAsia"/>
              <w:szCs w:val="28"/>
            </w:rPr>
            <w:t>二、评标标准</w:t>
          </w:r>
          <w:r>
            <w:tab/>
          </w:r>
          <w:r>
            <w:fldChar w:fldCharType="begin"/>
          </w:r>
          <w:r>
            <w:instrText xml:space="preserve"> PAGEREF _Toc19224 </w:instrText>
          </w:r>
          <w:r>
            <w:fldChar w:fldCharType="separate"/>
          </w:r>
          <w:r>
            <w:t>17</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_Toc22244 </w:instrText>
          </w:r>
          <w:r>
            <w:rPr>
              <w:szCs w:val="24"/>
            </w:rPr>
            <w:fldChar w:fldCharType="separate"/>
          </w:r>
          <w:r>
            <w:rPr>
              <w:rFonts w:hint="eastAsia"/>
              <w:szCs w:val="28"/>
            </w:rPr>
            <w:t>三、无效投标条款</w:t>
          </w:r>
          <w:r>
            <w:tab/>
          </w:r>
          <w:r>
            <w:fldChar w:fldCharType="begin"/>
          </w:r>
          <w:r>
            <w:instrText xml:space="preserve"> PAGEREF _Toc22244 </w:instrText>
          </w:r>
          <w:r>
            <w:fldChar w:fldCharType="separate"/>
          </w:r>
          <w:r>
            <w:t>20</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_Toc8555 </w:instrText>
          </w:r>
          <w:r>
            <w:rPr>
              <w:szCs w:val="24"/>
            </w:rPr>
            <w:fldChar w:fldCharType="separate"/>
          </w:r>
          <w:r>
            <w:rPr>
              <w:rFonts w:hint="eastAsia"/>
              <w:szCs w:val="28"/>
            </w:rPr>
            <w:t>四、废标条款</w:t>
          </w:r>
          <w:r>
            <w:tab/>
          </w:r>
          <w:r>
            <w:fldChar w:fldCharType="begin"/>
          </w:r>
          <w:r>
            <w:instrText xml:space="preserve"> PAGEREF _Toc8555 </w:instrText>
          </w:r>
          <w:r>
            <w:fldChar w:fldCharType="separate"/>
          </w:r>
          <w:r>
            <w:t>21</w:t>
          </w:r>
          <w:r>
            <w:fldChar w:fldCharType="end"/>
          </w:r>
          <w:r>
            <w:rPr>
              <w:color w:val="000000" w:themeColor="text1"/>
              <w:szCs w:val="24"/>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_Toc25606 </w:instrText>
          </w:r>
          <w:r>
            <w:rPr>
              <w:szCs w:val="24"/>
            </w:rPr>
            <w:fldChar w:fldCharType="separate"/>
          </w:r>
          <w:r>
            <w:rPr>
              <w:rFonts w:hint="eastAsia"/>
            </w:rPr>
            <w:t>第四篇投标人须知</w:t>
          </w:r>
          <w:r>
            <w:tab/>
          </w:r>
          <w:r>
            <w:fldChar w:fldCharType="begin"/>
          </w:r>
          <w:r>
            <w:instrText xml:space="preserve"> PAGEREF _Toc25606 </w:instrText>
          </w:r>
          <w:r>
            <w:fldChar w:fldCharType="separate"/>
          </w:r>
          <w:r>
            <w:t>22</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_Toc12753 </w:instrText>
          </w:r>
          <w:r>
            <w:rPr>
              <w:szCs w:val="24"/>
            </w:rPr>
            <w:fldChar w:fldCharType="separate"/>
          </w:r>
          <w:r>
            <w:rPr>
              <w:rFonts w:hint="eastAsia"/>
              <w:szCs w:val="28"/>
            </w:rPr>
            <w:t>一、投标费用</w:t>
          </w:r>
          <w:r>
            <w:tab/>
          </w:r>
          <w:r>
            <w:fldChar w:fldCharType="begin"/>
          </w:r>
          <w:r>
            <w:instrText xml:space="preserve"> PAGEREF _Toc12753 </w:instrText>
          </w:r>
          <w:r>
            <w:fldChar w:fldCharType="separate"/>
          </w:r>
          <w:r>
            <w:t>22</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_Toc21260 </w:instrText>
          </w:r>
          <w:r>
            <w:rPr>
              <w:szCs w:val="24"/>
            </w:rPr>
            <w:fldChar w:fldCharType="separate"/>
          </w:r>
          <w:r>
            <w:rPr>
              <w:rFonts w:hint="eastAsia"/>
              <w:szCs w:val="28"/>
            </w:rPr>
            <w:t>二、投标人</w:t>
          </w:r>
          <w:bookmarkStart w:id="113" w:name="_GoBack"/>
          <w:bookmarkEnd w:id="113"/>
          <w:r>
            <w:tab/>
          </w:r>
          <w:r>
            <w:fldChar w:fldCharType="begin"/>
          </w:r>
          <w:r>
            <w:instrText xml:space="preserve"> PAGEREF _Toc21260 </w:instrText>
          </w:r>
          <w:r>
            <w:fldChar w:fldCharType="separate"/>
          </w:r>
          <w:r>
            <w:t>22</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_Toc11575 </w:instrText>
          </w:r>
          <w:r>
            <w:rPr>
              <w:szCs w:val="24"/>
            </w:rPr>
            <w:fldChar w:fldCharType="separate"/>
          </w:r>
          <w:r>
            <w:rPr>
              <w:rFonts w:hint="eastAsia"/>
              <w:szCs w:val="28"/>
            </w:rPr>
            <w:t>三、招标文件</w:t>
          </w:r>
          <w:r>
            <w:tab/>
          </w:r>
          <w:r>
            <w:fldChar w:fldCharType="begin"/>
          </w:r>
          <w:r>
            <w:instrText xml:space="preserve"> PAGEREF _Toc11575 </w:instrText>
          </w:r>
          <w:r>
            <w:fldChar w:fldCharType="separate"/>
          </w:r>
          <w:r>
            <w:t>22</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_Toc3088 </w:instrText>
          </w:r>
          <w:r>
            <w:rPr>
              <w:szCs w:val="24"/>
            </w:rPr>
            <w:fldChar w:fldCharType="separate"/>
          </w:r>
          <w:r>
            <w:rPr>
              <w:rFonts w:hint="eastAsia"/>
              <w:szCs w:val="28"/>
            </w:rPr>
            <w:t>四、投标文件</w:t>
          </w:r>
          <w:r>
            <w:tab/>
          </w:r>
          <w:r>
            <w:fldChar w:fldCharType="begin"/>
          </w:r>
          <w:r>
            <w:instrText xml:space="preserve"> PAGEREF _Toc3088 </w:instrText>
          </w:r>
          <w:r>
            <w:fldChar w:fldCharType="separate"/>
          </w:r>
          <w:r>
            <w:t>22</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_Toc29353 </w:instrText>
          </w:r>
          <w:r>
            <w:rPr>
              <w:szCs w:val="24"/>
            </w:rPr>
            <w:fldChar w:fldCharType="separate"/>
          </w:r>
          <w:r>
            <w:rPr>
              <w:rFonts w:hint="eastAsia"/>
              <w:szCs w:val="28"/>
            </w:rPr>
            <w:t>五、开标</w:t>
          </w:r>
          <w:r>
            <w:tab/>
          </w:r>
          <w:r>
            <w:fldChar w:fldCharType="begin"/>
          </w:r>
          <w:r>
            <w:instrText xml:space="preserve"> PAGEREF _Toc29353 </w:instrText>
          </w:r>
          <w:r>
            <w:fldChar w:fldCharType="separate"/>
          </w:r>
          <w:r>
            <w:t>24</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_Toc5088 </w:instrText>
          </w:r>
          <w:r>
            <w:rPr>
              <w:szCs w:val="24"/>
            </w:rPr>
            <w:fldChar w:fldCharType="separate"/>
          </w:r>
          <w:r>
            <w:rPr>
              <w:rFonts w:hint="eastAsia"/>
              <w:szCs w:val="28"/>
            </w:rPr>
            <w:t>六、评标</w:t>
          </w:r>
          <w:r>
            <w:tab/>
          </w:r>
          <w:r>
            <w:fldChar w:fldCharType="begin"/>
          </w:r>
          <w:r>
            <w:instrText xml:space="preserve"> PAGEREF _Toc5088 </w:instrText>
          </w:r>
          <w:r>
            <w:fldChar w:fldCharType="separate"/>
          </w:r>
          <w:r>
            <w:t>25</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_Toc21989 </w:instrText>
          </w:r>
          <w:r>
            <w:rPr>
              <w:szCs w:val="24"/>
            </w:rPr>
            <w:fldChar w:fldCharType="separate"/>
          </w:r>
          <w:r>
            <w:rPr>
              <w:rFonts w:hint="eastAsia"/>
              <w:szCs w:val="28"/>
            </w:rPr>
            <w:t>七、定标</w:t>
          </w:r>
          <w:r>
            <w:tab/>
          </w:r>
          <w:r>
            <w:fldChar w:fldCharType="begin"/>
          </w:r>
          <w:r>
            <w:instrText xml:space="preserve"> PAGEREF _Toc21989 </w:instrText>
          </w:r>
          <w:r>
            <w:fldChar w:fldCharType="separate"/>
          </w:r>
          <w:r>
            <w:t>25</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_Toc28868 </w:instrText>
          </w:r>
          <w:r>
            <w:rPr>
              <w:szCs w:val="24"/>
            </w:rPr>
            <w:fldChar w:fldCharType="separate"/>
          </w:r>
          <w:r>
            <w:rPr>
              <w:rFonts w:hint="eastAsia"/>
              <w:szCs w:val="28"/>
            </w:rPr>
            <w:t>八、中标通知书</w:t>
          </w:r>
          <w:r>
            <w:tab/>
          </w:r>
          <w:r>
            <w:fldChar w:fldCharType="begin"/>
          </w:r>
          <w:r>
            <w:instrText xml:space="preserve"> PAGEREF _Toc28868 </w:instrText>
          </w:r>
          <w:r>
            <w:fldChar w:fldCharType="separate"/>
          </w:r>
          <w:r>
            <w:t>25</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_Toc18322 </w:instrText>
          </w:r>
          <w:r>
            <w:rPr>
              <w:szCs w:val="24"/>
            </w:rPr>
            <w:fldChar w:fldCharType="separate"/>
          </w:r>
          <w:r>
            <w:rPr>
              <w:rFonts w:hint="eastAsia"/>
              <w:szCs w:val="28"/>
            </w:rPr>
            <w:t>九、投标人对中标结果的质疑、投诉</w:t>
          </w:r>
          <w:r>
            <w:tab/>
          </w:r>
          <w:r>
            <w:fldChar w:fldCharType="begin"/>
          </w:r>
          <w:r>
            <w:instrText xml:space="preserve"> PAGEREF _Toc18322 </w:instrText>
          </w:r>
          <w:r>
            <w:fldChar w:fldCharType="separate"/>
          </w:r>
          <w:r>
            <w:t>26</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_Toc11865 </w:instrText>
          </w:r>
          <w:r>
            <w:rPr>
              <w:szCs w:val="24"/>
            </w:rPr>
            <w:fldChar w:fldCharType="separate"/>
          </w:r>
          <w:r>
            <w:rPr>
              <w:rFonts w:hint="eastAsia"/>
              <w:szCs w:val="28"/>
            </w:rPr>
            <w:t>十、招标服务费</w:t>
          </w:r>
          <w:r>
            <w:tab/>
          </w:r>
          <w:r>
            <w:fldChar w:fldCharType="begin"/>
          </w:r>
          <w:r>
            <w:instrText xml:space="preserve"> PAGEREF _Toc11865 </w:instrText>
          </w:r>
          <w:r>
            <w:fldChar w:fldCharType="separate"/>
          </w:r>
          <w:r>
            <w:t>27</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_Toc21533 </w:instrText>
          </w:r>
          <w:r>
            <w:rPr>
              <w:szCs w:val="24"/>
            </w:rPr>
            <w:fldChar w:fldCharType="separate"/>
          </w:r>
          <w:r>
            <w:rPr>
              <w:rFonts w:hint="eastAsia"/>
              <w:szCs w:val="28"/>
            </w:rPr>
            <w:t>十一、签订合同</w:t>
          </w:r>
          <w:r>
            <w:tab/>
          </w:r>
          <w:r>
            <w:fldChar w:fldCharType="begin"/>
          </w:r>
          <w:r>
            <w:instrText xml:space="preserve"> PAGEREF _Toc21533 </w:instrText>
          </w:r>
          <w:r>
            <w:fldChar w:fldCharType="separate"/>
          </w:r>
          <w:r>
            <w:t>27</w:t>
          </w:r>
          <w:r>
            <w:fldChar w:fldCharType="end"/>
          </w:r>
          <w:r>
            <w:rPr>
              <w:color w:val="000000" w:themeColor="text1"/>
              <w:szCs w:val="24"/>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_Toc16766 </w:instrText>
          </w:r>
          <w:r>
            <w:rPr>
              <w:szCs w:val="24"/>
            </w:rPr>
            <w:fldChar w:fldCharType="separate"/>
          </w:r>
          <w:r>
            <w:rPr>
              <w:rFonts w:hint="eastAsia"/>
              <w:szCs w:val="28"/>
            </w:rPr>
            <w:t>第五篇合同主要条款、格式合同</w:t>
          </w:r>
          <w:r>
            <w:tab/>
          </w:r>
          <w:r>
            <w:fldChar w:fldCharType="begin"/>
          </w:r>
          <w:r>
            <w:instrText xml:space="preserve"> PAGEREF _Toc16766 </w:instrText>
          </w:r>
          <w:r>
            <w:fldChar w:fldCharType="separate"/>
          </w:r>
          <w:r>
            <w:t>29</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_Toc22149 </w:instrText>
          </w:r>
          <w:r>
            <w:rPr>
              <w:szCs w:val="24"/>
            </w:rPr>
            <w:fldChar w:fldCharType="separate"/>
          </w:r>
          <w:r>
            <w:rPr>
              <w:rFonts w:hint="eastAsia" w:ascii="Calibri Light" w:hAnsi="Calibri Light"/>
              <w:bCs/>
              <w:kern w:val="0"/>
              <w:szCs w:val="24"/>
            </w:rPr>
            <w:t>长江师范学院南苑食府、接待中心联合经营管理合同</w:t>
          </w:r>
          <w:r>
            <w:tab/>
          </w:r>
          <w:r>
            <w:fldChar w:fldCharType="begin"/>
          </w:r>
          <w:r>
            <w:instrText xml:space="preserve"> PAGEREF _Toc22149 </w:instrText>
          </w:r>
          <w:r>
            <w:fldChar w:fldCharType="separate"/>
          </w:r>
          <w:r>
            <w:t>30</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_Toc21601 </w:instrText>
          </w:r>
          <w:r>
            <w:rPr>
              <w:szCs w:val="24"/>
            </w:rPr>
            <w:fldChar w:fldCharType="separate"/>
          </w:r>
          <w:r>
            <w:rPr>
              <w:rFonts w:hint="eastAsia" w:ascii="Calibri Light" w:hAnsi="Calibri Light"/>
              <w:bCs/>
              <w:kern w:val="0"/>
              <w:szCs w:val="24"/>
            </w:rPr>
            <w:t>附件一 长江师范学院南苑食府、接待中心联合经营管理日常考核实施细则</w:t>
          </w:r>
          <w:r>
            <w:tab/>
          </w:r>
          <w:r>
            <w:fldChar w:fldCharType="begin"/>
          </w:r>
          <w:r>
            <w:instrText xml:space="preserve"> PAGEREF _Toc21601 </w:instrText>
          </w:r>
          <w:r>
            <w:fldChar w:fldCharType="separate"/>
          </w:r>
          <w:r>
            <w:t>36</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_Toc26281 </w:instrText>
          </w:r>
          <w:r>
            <w:rPr>
              <w:szCs w:val="24"/>
            </w:rPr>
            <w:fldChar w:fldCharType="separate"/>
          </w:r>
          <w:r>
            <w:rPr>
              <w:rFonts w:hint="eastAsia" w:ascii="Calibri Light" w:hAnsi="Calibri Light"/>
              <w:bCs/>
              <w:kern w:val="0"/>
              <w:szCs w:val="21"/>
            </w:rPr>
            <w:t>附件二</w:t>
          </w:r>
          <w:r>
            <w:rPr>
              <w:rFonts w:hint="eastAsia" w:ascii="Calibri Light" w:hAnsi="Calibri Light"/>
              <w:bCs/>
              <w:kern w:val="0"/>
              <w:szCs w:val="24"/>
            </w:rPr>
            <w:t>长江师范学院南苑食府、接待中心联合经营管理与服务考核办法</w:t>
          </w:r>
          <w:r>
            <w:tab/>
          </w:r>
          <w:r>
            <w:fldChar w:fldCharType="begin"/>
          </w:r>
          <w:r>
            <w:instrText xml:space="preserve"> PAGEREF _Toc26281 </w:instrText>
          </w:r>
          <w:r>
            <w:fldChar w:fldCharType="separate"/>
          </w:r>
          <w:r>
            <w:t>39</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_Toc1066 </w:instrText>
          </w:r>
          <w:r>
            <w:rPr>
              <w:szCs w:val="24"/>
            </w:rPr>
            <w:fldChar w:fldCharType="separate"/>
          </w:r>
          <w:r>
            <w:rPr>
              <w:rFonts w:hint="eastAsia" w:ascii="Calibri Light" w:hAnsi="Calibri Light"/>
              <w:bCs/>
              <w:kern w:val="0"/>
              <w:szCs w:val="21"/>
            </w:rPr>
            <w:t xml:space="preserve">附件三  </w:t>
          </w:r>
          <w:r>
            <w:rPr>
              <w:rFonts w:hint="eastAsia" w:ascii="宋体" w:hAnsi="宋体"/>
              <w:bCs/>
              <w:kern w:val="0"/>
              <w:szCs w:val="24"/>
            </w:rPr>
            <w:t>长江师范学院南苑食府、接待中心联合经营合同期满专家组考核指标</w:t>
          </w:r>
          <w:r>
            <w:tab/>
          </w:r>
          <w:r>
            <w:fldChar w:fldCharType="begin"/>
          </w:r>
          <w:r>
            <w:instrText xml:space="preserve"> PAGEREF _Toc1066 </w:instrText>
          </w:r>
          <w:r>
            <w:fldChar w:fldCharType="separate"/>
          </w:r>
          <w:r>
            <w:t>40</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_Toc1742 </w:instrText>
          </w:r>
          <w:r>
            <w:rPr>
              <w:szCs w:val="24"/>
            </w:rPr>
            <w:fldChar w:fldCharType="separate"/>
          </w:r>
          <w:r>
            <w:rPr>
              <w:rFonts w:hint="eastAsia" w:ascii="宋体" w:hAnsi="宋体"/>
              <w:bCs/>
              <w:kern w:val="0"/>
              <w:szCs w:val="24"/>
            </w:rPr>
            <w:t>附件四  乙方使用甲方食堂原有设施设备清单</w:t>
          </w:r>
          <w:r>
            <w:tab/>
          </w:r>
          <w:r>
            <w:fldChar w:fldCharType="begin"/>
          </w:r>
          <w:r>
            <w:instrText xml:space="preserve"> PAGEREF _Toc1742 </w:instrText>
          </w:r>
          <w:r>
            <w:fldChar w:fldCharType="separate"/>
          </w:r>
          <w:r>
            <w:t>42</w:t>
          </w:r>
          <w:r>
            <w:fldChar w:fldCharType="end"/>
          </w:r>
          <w:r>
            <w:rPr>
              <w:color w:val="000000" w:themeColor="text1"/>
              <w:szCs w:val="24"/>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_Toc9436 </w:instrText>
          </w:r>
          <w:r>
            <w:rPr>
              <w:szCs w:val="24"/>
            </w:rPr>
            <w:fldChar w:fldCharType="separate"/>
          </w:r>
          <w:r>
            <w:rPr>
              <w:rFonts w:hint="eastAsia"/>
              <w:szCs w:val="36"/>
            </w:rPr>
            <w:t>第六篇投标文件格式</w:t>
          </w:r>
          <w:r>
            <w:tab/>
          </w:r>
          <w:r>
            <w:fldChar w:fldCharType="begin"/>
          </w:r>
          <w:r>
            <w:instrText xml:space="preserve"> PAGEREF _Toc9436 </w:instrText>
          </w:r>
          <w:r>
            <w:fldChar w:fldCharType="separate"/>
          </w:r>
          <w:r>
            <w:t>43</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_Toc29297 </w:instrText>
          </w:r>
          <w:r>
            <w:rPr>
              <w:szCs w:val="24"/>
            </w:rPr>
            <w:fldChar w:fldCharType="separate"/>
          </w:r>
          <w:r>
            <w:rPr>
              <w:rFonts w:hint="eastAsia"/>
              <w:szCs w:val="28"/>
            </w:rPr>
            <w:t>一、经济文件</w:t>
          </w:r>
          <w:r>
            <w:tab/>
          </w:r>
          <w:r>
            <w:fldChar w:fldCharType="begin"/>
          </w:r>
          <w:r>
            <w:instrText xml:space="preserve"> PAGEREF _Toc29297 </w:instrText>
          </w:r>
          <w:r>
            <w:fldChar w:fldCharType="separate"/>
          </w:r>
          <w:r>
            <w:t>43</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_Toc1380 </w:instrText>
          </w:r>
          <w:r>
            <w:rPr>
              <w:szCs w:val="24"/>
            </w:rPr>
            <w:fldChar w:fldCharType="separate"/>
          </w:r>
          <w:r>
            <w:rPr>
              <w:rFonts w:hint="eastAsia"/>
              <w:szCs w:val="28"/>
            </w:rPr>
            <w:t>二、资格文件</w:t>
          </w:r>
          <w:r>
            <w:tab/>
          </w:r>
          <w:r>
            <w:fldChar w:fldCharType="begin"/>
          </w:r>
          <w:r>
            <w:instrText xml:space="preserve"> PAGEREF _Toc1380 </w:instrText>
          </w:r>
          <w:r>
            <w:fldChar w:fldCharType="separate"/>
          </w:r>
          <w:r>
            <w:t>43</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_Toc16554 </w:instrText>
          </w:r>
          <w:r>
            <w:rPr>
              <w:szCs w:val="24"/>
            </w:rPr>
            <w:fldChar w:fldCharType="separate"/>
          </w:r>
          <w:r>
            <w:rPr>
              <w:rFonts w:hint="eastAsia"/>
              <w:szCs w:val="28"/>
            </w:rPr>
            <w:t>三、商务文件</w:t>
          </w:r>
          <w:r>
            <w:tab/>
          </w:r>
          <w:r>
            <w:fldChar w:fldCharType="begin"/>
          </w:r>
          <w:r>
            <w:instrText xml:space="preserve"> PAGEREF _Toc16554 </w:instrText>
          </w:r>
          <w:r>
            <w:fldChar w:fldCharType="separate"/>
          </w:r>
          <w:r>
            <w:t>43</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_Toc15593 </w:instrText>
          </w:r>
          <w:r>
            <w:rPr>
              <w:szCs w:val="24"/>
            </w:rPr>
            <w:fldChar w:fldCharType="separate"/>
          </w:r>
          <w:r>
            <w:rPr>
              <w:rFonts w:hint="eastAsia"/>
              <w:szCs w:val="28"/>
            </w:rPr>
            <w:t>四、经济与技术文件</w:t>
          </w:r>
          <w:r>
            <w:tab/>
          </w:r>
          <w:r>
            <w:fldChar w:fldCharType="begin"/>
          </w:r>
          <w:r>
            <w:instrText xml:space="preserve"> PAGEREF _Toc15593 </w:instrText>
          </w:r>
          <w:r>
            <w:fldChar w:fldCharType="separate"/>
          </w:r>
          <w:r>
            <w:t>43</w:t>
          </w:r>
          <w:r>
            <w:fldChar w:fldCharType="end"/>
          </w:r>
          <w:r>
            <w:rPr>
              <w:color w:val="000000" w:themeColor="text1"/>
              <w:szCs w:val="24"/>
            </w:rPr>
            <w:fldChar w:fldCharType="end"/>
          </w:r>
        </w:p>
        <w:p>
          <w:pPr>
            <w:pStyle w:val="32"/>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outlineLvl w:val="9"/>
          </w:pPr>
          <w:r>
            <w:rPr>
              <w:color w:val="000000" w:themeColor="text1"/>
              <w:szCs w:val="24"/>
            </w:rPr>
            <w:fldChar w:fldCharType="begin"/>
          </w:r>
          <w:r>
            <w:rPr>
              <w:szCs w:val="24"/>
            </w:rPr>
            <w:instrText xml:space="preserve"> HYPERLINK \l _Toc24233 </w:instrText>
          </w:r>
          <w:r>
            <w:rPr>
              <w:szCs w:val="24"/>
            </w:rPr>
            <w:fldChar w:fldCharType="separate"/>
          </w:r>
          <w:r>
            <w:rPr>
              <w:rFonts w:hint="eastAsia"/>
              <w:szCs w:val="28"/>
            </w:rPr>
            <w:t>五、其他</w:t>
          </w:r>
          <w:r>
            <w:tab/>
          </w:r>
          <w:r>
            <w:fldChar w:fldCharType="begin"/>
          </w:r>
          <w:r>
            <w:instrText xml:space="preserve"> PAGEREF _Toc24233 </w:instrText>
          </w:r>
          <w:r>
            <w:fldChar w:fldCharType="separate"/>
          </w:r>
          <w:r>
            <w:t>44</w:t>
          </w:r>
          <w:r>
            <w:fldChar w:fldCharType="end"/>
          </w:r>
          <w:r>
            <w:rPr>
              <w:color w:val="000000" w:themeColor="text1"/>
              <w:szCs w:val="24"/>
            </w:rPr>
            <w:fldChar w:fldCharType="end"/>
          </w:r>
        </w:p>
        <w:p>
          <w:pPr>
            <w:spacing w:line="280" w:lineRule="exact"/>
            <w:jc w:val="left"/>
            <w:rPr>
              <w:color w:val="000000" w:themeColor="text1"/>
              <w:sz w:val="24"/>
              <w:szCs w:val="24"/>
            </w:rPr>
          </w:pPr>
          <w:r>
            <w:rPr>
              <w:color w:val="000000" w:themeColor="text1"/>
              <w:szCs w:val="24"/>
            </w:rPr>
            <w:fldChar w:fldCharType="end"/>
          </w:r>
        </w:p>
      </w:sdtContent>
    </w:sdt>
    <w:p>
      <w:pPr>
        <w:pStyle w:val="2"/>
        <w:spacing w:before="0" w:after="0"/>
        <w:jc w:val="center"/>
        <w:rPr>
          <w:color w:val="000000" w:themeColor="text1"/>
          <w:sz w:val="36"/>
          <w:szCs w:val="36"/>
        </w:rPr>
      </w:pPr>
      <w:bookmarkStart w:id="0" w:name="_Toc186919377"/>
      <w:bookmarkStart w:id="1" w:name="_Toc3963"/>
      <w:r>
        <w:rPr>
          <w:rFonts w:hint="eastAsia"/>
          <w:color w:val="000000" w:themeColor="text1"/>
          <w:sz w:val="36"/>
          <w:szCs w:val="36"/>
        </w:rPr>
        <w:t>廉洁承诺书</w:t>
      </w:r>
      <w:bookmarkEnd w:id="0"/>
      <w:bookmarkEnd w:id="1"/>
    </w:p>
    <w:p>
      <w:pPr>
        <w:spacing w:line="400" w:lineRule="exact"/>
        <w:jc w:val="left"/>
        <w:rPr>
          <w:color w:val="000000" w:themeColor="text1"/>
          <w:sz w:val="24"/>
          <w:szCs w:val="24"/>
        </w:rPr>
      </w:pPr>
    </w:p>
    <w:p>
      <w:pPr>
        <w:spacing w:line="400" w:lineRule="exact"/>
        <w:jc w:val="left"/>
        <w:rPr>
          <w:color w:val="000000" w:themeColor="text1"/>
          <w:sz w:val="24"/>
          <w:szCs w:val="24"/>
        </w:rPr>
      </w:pPr>
      <w:r>
        <w:rPr>
          <w:rFonts w:hint="eastAsia"/>
          <w:color w:val="000000" w:themeColor="text1"/>
          <w:sz w:val="24"/>
          <w:szCs w:val="24"/>
        </w:rPr>
        <w:t>长江师范学院：</w:t>
      </w:r>
    </w:p>
    <w:p>
      <w:pPr>
        <w:spacing w:line="400" w:lineRule="exact"/>
        <w:ind w:firstLine="480" w:firstLineChars="200"/>
        <w:jc w:val="left"/>
        <w:rPr>
          <w:color w:val="000000" w:themeColor="text1"/>
          <w:sz w:val="24"/>
          <w:szCs w:val="24"/>
        </w:rPr>
      </w:pPr>
      <w:r>
        <w:rPr>
          <w:rFonts w:hint="eastAsia"/>
          <w:color w:val="000000" w:themeColor="text1"/>
          <w:sz w:val="24"/>
          <w:szCs w:val="24"/>
        </w:rPr>
        <w:t>我单位承担贵校                 项目。为保证项目活动的廉洁、规范，防止违纪违法行为的发生，根据国家有关法律法规和党风廉政建设要求，我单位特作以下承诺：</w:t>
      </w:r>
    </w:p>
    <w:p>
      <w:pPr>
        <w:spacing w:line="400" w:lineRule="exact"/>
        <w:ind w:firstLine="480" w:firstLineChars="200"/>
        <w:jc w:val="left"/>
        <w:rPr>
          <w:color w:val="000000" w:themeColor="text1"/>
          <w:sz w:val="24"/>
          <w:szCs w:val="24"/>
        </w:rPr>
      </w:pPr>
      <w:r>
        <w:rPr>
          <w:rFonts w:hint="eastAsia"/>
          <w:color w:val="000000" w:themeColor="text1"/>
          <w:sz w:val="24"/>
          <w:szCs w:val="24"/>
        </w:rPr>
        <w:t>一、在项目过程中，坚持公平、公开、公正、诚实信用的原则，坚持依法办事、按程序办事，严格履行合同，保证质量，不损害国家和学校利益。</w:t>
      </w:r>
    </w:p>
    <w:p>
      <w:pPr>
        <w:spacing w:line="400" w:lineRule="exact"/>
        <w:ind w:firstLine="480" w:firstLineChars="200"/>
        <w:jc w:val="left"/>
        <w:rPr>
          <w:color w:val="000000" w:themeColor="text1"/>
          <w:sz w:val="24"/>
          <w:szCs w:val="24"/>
        </w:rPr>
      </w:pPr>
      <w:r>
        <w:rPr>
          <w:rFonts w:hint="eastAsia"/>
          <w:color w:val="000000" w:themeColor="text1"/>
          <w:sz w:val="24"/>
          <w:szCs w:val="24"/>
        </w:rPr>
        <w:t>二、严格遵守有关法律法规和廉洁从业规定，在项目设计、招投标、实施、验收等各个环节，不从事违背法律法规和公平、公正原则的活动，干扰和影响学校工作。</w:t>
      </w:r>
    </w:p>
    <w:p>
      <w:pPr>
        <w:spacing w:line="400" w:lineRule="exact"/>
        <w:ind w:firstLine="480" w:firstLineChars="200"/>
        <w:jc w:val="left"/>
        <w:rPr>
          <w:color w:val="000000" w:themeColor="text1"/>
          <w:sz w:val="24"/>
          <w:szCs w:val="24"/>
        </w:rPr>
      </w:pPr>
      <w:r>
        <w:rPr>
          <w:rFonts w:hint="eastAsia"/>
          <w:color w:val="000000" w:themeColor="text1"/>
          <w:sz w:val="24"/>
          <w:szCs w:val="24"/>
        </w:rPr>
        <w:t>三、不向学校工作人员及其配偶、子女和亲属赠送礼品、礼金、回扣、好处费、劳务费以及有价证券、支付凭证和贵重物品等。</w:t>
      </w:r>
    </w:p>
    <w:p>
      <w:pPr>
        <w:spacing w:line="400" w:lineRule="exact"/>
        <w:ind w:firstLine="480" w:firstLineChars="200"/>
        <w:jc w:val="left"/>
        <w:rPr>
          <w:color w:val="000000" w:themeColor="text1"/>
          <w:sz w:val="24"/>
          <w:szCs w:val="24"/>
        </w:rPr>
      </w:pPr>
      <w:r>
        <w:rPr>
          <w:rFonts w:hint="eastAsia"/>
          <w:color w:val="000000" w:themeColor="text1"/>
          <w:sz w:val="24"/>
          <w:szCs w:val="24"/>
        </w:rPr>
        <w:t>四、不向学校工作人员及其配偶、子女和亲属提供宴请、联谊、度假、旅游以及娱乐等活动。</w:t>
      </w:r>
    </w:p>
    <w:p>
      <w:pPr>
        <w:spacing w:line="400" w:lineRule="exact"/>
        <w:ind w:firstLine="480" w:firstLineChars="200"/>
        <w:jc w:val="left"/>
        <w:rPr>
          <w:color w:val="000000" w:themeColor="text1"/>
          <w:sz w:val="24"/>
          <w:szCs w:val="24"/>
        </w:rPr>
      </w:pPr>
      <w:r>
        <w:rPr>
          <w:rFonts w:hint="eastAsia"/>
          <w:color w:val="000000" w:themeColor="text1"/>
          <w:sz w:val="24"/>
          <w:szCs w:val="24"/>
        </w:rPr>
        <w:t>五、不向学校工作人员及其配偶、子女和亲属报销或支付应由其个人支付的各种费用（住宅装修、婚丧嫁娶、旅游、度假、食宿、购物、学费、子女出国留学等）。</w:t>
      </w:r>
    </w:p>
    <w:p>
      <w:pPr>
        <w:spacing w:line="400" w:lineRule="exact"/>
        <w:ind w:firstLine="480" w:firstLineChars="200"/>
        <w:jc w:val="left"/>
        <w:rPr>
          <w:color w:val="000000" w:themeColor="text1"/>
          <w:sz w:val="24"/>
          <w:szCs w:val="24"/>
        </w:rPr>
      </w:pPr>
      <w:r>
        <w:rPr>
          <w:rFonts w:hint="eastAsia"/>
          <w:color w:val="000000" w:themeColor="text1"/>
          <w:sz w:val="24"/>
          <w:szCs w:val="24"/>
        </w:rPr>
        <w:t>六、不与学校工作人员及其配偶、子女和亲属发生借贷、租赁、合伙、合作经营等个人经济关系，不提供车辆、电脑、手机等贵重物品供其借用，或为其个人行为提供方便。</w:t>
      </w:r>
    </w:p>
    <w:p>
      <w:pPr>
        <w:spacing w:line="400" w:lineRule="exact"/>
        <w:ind w:firstLine="480" w:firstLineChars="200"/>
        <w:jc w:val="left"/>
        <w:rPr>
          <w:color w:val="000000" w:themeColor="text1"/>
          <w:sz w:val="24"/>
          <w:szCs w:val="24"/>
        </w:rPr>
      </w:pPr>
      <w:r>
        <w:rPr>
          <w:rFonts w:hint="eastAsia"/>
          <w:color w:val="000000" w:themeColor="text1"/>
          <w:sz w:val="24"/>
          <w:szCs w:val="24"/>
        </w:rPr>
        <w:t>七、不为学校工作人员的配偶、子女和亲属安排工作，也不安排其从事与学校项目有关的材料设备供应、项目分包等经济活动。</w:t>
      </w:r>
    </w:p>
    <w:p>
      <w:pPr>
        <w:spacing w:line="400" w:lineRule="exact"/>
        <w:ind w:firstLine="480" w:firstLineChars="200"/>
        <w:jc w:val="left"/>
        <w:rPr>
          <w:color w:val="000000" w:themeColor="text1"/>
          <w:sz w:val="24"/>
          <w:szCs w:val="24"/>
        </w:rPr>
      </w:pPr>
      <w:r>
        <w:rPr>
          <w:rFonts w:hint="eastAsia"/>
          <w:color w:val="000000" w:themeColor="text1"/>
          <w:sz w:val="24"/>
          <w:szCs w:val="24"/>
        </w:rPr>
        <w:t>八、若有监理的项目，严格执行国家有关监理的规定，积极配合、支持监理单位开展工作，不从事影响监理单位公正履行职责的任何活动。</w:t>
      </w:r>
    </w:p>
    <w:p>
      <w:pPr>
        <w:spacing w:line="400" w:lineRule="exact"/>
        <w:ind w:firstLine="480" w:firstLineChars="200"/>
        <w:jc w:val="left"/>
        <w:rPr>
          <w:color w:val="000000" w:themeColor="text1"/>
          <w:sz w:val="24"/>
          <w:szCs w:val="24"/>
        </w:rPr>
      </w:pPr>
      <w:r>
        <w:rPr>
          <w:rFonts w:hint="eastAsia"/>
          <w:color w:val="000000" w:themeColor="text1"/>
          <w:sz w:val="24"/>
          <w:szCs w:val="24"/>
        </w:rPr>
        <w:t>九、若有学校工作人员无理刁难或提出不合理要求，应及时向学校有关部门反映；若发现学校工作人员有违纪违规行为的，应及时向学校的纪检监察部门举报，坚决抵制不正之风和各种不正当做法。</w:t>
      </w:r>
    </w:p>
    <w:p>
      <w:pPr>
        <w:spacing w:line="400" w:lineRule="exact"/>
        <w:ind w:firstLine="480" w:firstLineChars="200"/>
        <w:jc w:val="left"/>
        <w:rPr>
          <w:color w:val="000000" w:themeColor="text1"/>
          <w:sz w:val="24"/>
          <w:szCs w:val="24"/>
        </w:rPr>
      </w:pPr>
      <w:r>
        <w:rPr>
          <w:rFonts w:hint="eastAsia"/>
          <w:color w:val="000000" w:themeColor="text1"/>
          <w:sz w:val="24"/>
          <w:szCs w:val="24"/>
        </w:rPr>
        <w:t>以上承诺，我单位及单位工作人员均将严格遵守。如有违反，经上级部门或学校认定违规违纪事实后，按照下列规定进行处罚：</w:t>
      </w:r>
    </w:p>
    <w:p>
      <w:pPr>
        <w:spacing w:line="400" w:lineRule="exact"/>
        <w:ind w:firstLine="480" w:firstLineChars="200"/>
        <w:jc w:val="left"/>
        <w:rPr>
          <w:color w:val="000000" w:themeColor="text1"/>
          <w:sz w:val="24"/>
          <w:szCs w:val="24"/>
        </w:rPr>
      </w:pPr>
      <w:r>
        <w:rPr>
          <w:rFonts w:hint="eastAsia"/>
          <w:color w:val="000000" w:themeColor="text1"/>
          <w:sz w:val="24"/>
          <w:szCs w:val="24"/>
        </w:rPr>
        <w:t>（一）同意按照违规项目合同总金额的</w:t>
      </w:r>
      <w:r>
        <w:rPr>
          <w:color w:val="000000" w:themeColor="text1"/>
          <w:sz w:val="24"/>
          <w:szCs w:val="24"/>
        </w:rPr>
        <w:t>5%</w:t>
      </w:r>
      <w:r>
        <w:rPr>
          <w:rFonts w:hint="eastAsia"/>
          <w:color w:val="000000" w:themeColor="text1"/>
          <w:sz w:val="24"/>
          <w:szCs w:val="24"/>
        </w:rPr>
        <w:t>支付罚金，造成经济损失的，由本单位赔偿学校的全部损失；</w:t>
      </w:r>
    </w:p>
    <w:p>
      <w:pPr>
        <w:spacing w:line="400" w:lineRule="exact"/>
        <w:ind w:firstLine="480" w:firstLineChars="200"/>
        <w:jc w:val="left"/>
        <w:rPr>
          <w:color w:val="000000" w:themeColor="text1"/>
          <w:sz w:val="24"/>
          <w:szCs w:val="24"/>
        </w:rPr>
      </w:pPr>
      <w:r>
        <w:rPr>
          <w:rFonts w:hint="eastAsia"/>
          <w:color w:val="000000" w:themeColor="text1"/>
          <w:sz w:val="24"/>
          <w:szCs w:val="24"/>
        </w:rPr>
        <w:t>（二）本单位的行为致使学校工作人员违规的，同意将本单位列入贵校服务商（承建商）黑名单，</w:t>
      </w:r>
      <w:r>
        <w:rPr>
          <w:rFonts w:hint="eastAsia"/>
          <w:sz w:val="24"/>
          <w:szCs w:val="24"/>
        </w:rPr>
        <w:t>三年丧失贵校供应商（承建商）资格</w:t>
      </w:r>
      <w:r>
        <w:rPr>
          <w:rFonts w:hint="eastAsia"/>
          <w:color w:val="000000" w:themeColor="text1"/>
          <w:sz w:val="24"/>
          <w:szCs w:val="24"/>
        </w:rPr>
        <w:t>；</w:t>
      </w:r>
    </w:p>
    <w:p>
      <w:pPr>
        <w:spacing w:line="400" w:lineRule="exact"/>
        <w:ind w:firstLine="480" w:firstLineChars="200"/>
        <w:jc w:val="left"/>
        <w:rPr>
          <w:color w:val="000000" w:themeColor="text1"/>
          <w:sz w:val="24"/>
          <w:szCs w:val="24"/>
        </w:rPr>
      </w:pPr>
      <w:r>
        <w:rPr>
          <w:rFonts w:hint="eastAsia"/>
          <w:color w:val="000000" w:themeColor="text1"/>
          <w:sz w:val="24"/>
          <w:szCs w:val="24"/>
        </w:rPr>
        <w:t>（三）本单位的行为致使贵校工作人员违法的，同意永远丧失贵校服务商（承建商）资格。本单位自愿接受学校依据有关规定对本单位作出的取消入围供应商（承建商）资格、中标资格以及终止合同等处理，并承担一切相应的法律责任；</w:t>
      </w:r>
    </w:p>
    <w:p>
      <w:pPr>
        <w:spacing w:line="400" w:lineRule="exact"/>
        <w:ind w:firstLine="480" w:firstLineChars="200"/>
        <w:jc w:val="left"/>
        <w:rPr>
          <w:color w:val="000000" w:themeColor="text1"/>
          <w:sz w:val="24"/>
          <w:szCs w:val="24"/>
        </w:rPr>
      </w:pPr>
      <w:r>
        <w:rPr>
          <w:rFonts w:hint="eastAsia"/>
          <w:color w:val="000000" w:themeColor="text1"/>
          <w:sz w:val="24"/>
          <w:szCs w:val="24"/>
        </w:rPr>
        <w:t>（四）任何第三方因本单位违反以上承诺而向学校索赔或主张权利的，所有责任及后果均由本单位独自承担；</w:t>
      </w:r>
    </w:p>
    <w:p>
      <w:pPr>
        <w:spacing w:line="400" w:lineRule="exact"/>
        <w:ind w:firstLine="480" w:firstLineChars="200"/>
        <w:jc w:val="left"/>
        <w:rPr>
          <w:color w:val="000000" w:themeColor="text1"/>
          <w:sz w:val="24"/>
          <w:szCs w:val="24"/>
        </w:rPr>
      </w:pPr>
      <w:r>
        <w:rPr>
          <w:rFonts w:hint="eastAsia"/>
          <w:color w:val="000000" w:themeColor="text1"/>
          <w:sz w:val="24"/>
          <w:szCs w:val="24"/>
        </w:rPr>
        <w:t>（五）贵校可根据我单位发生的违纪违法事实向有关部门检举报告，我单位自愿接受有关部门依法依规作出的相关处理意见。</w:t>
      </w:r>
    </w:p>
    <w:p>
      <w:pPr>
        <w:spacing w:line="400" w:lineRule="exact"/>
        <w:ind w:firstLine="480" w:firstLineChars="200"/>
        <w:jc w:val="left"/>
        <w:rPr>
          <w:color w:val="000000" w:themeColor="text1"/>
          <w:sz w:val="24"/>
          <w:szCs w:val="24"/>
        </w:rPr>
      </w:pPr>
      <w:r>
        <w:rPr>
          <w:rFonts w:hint="eastAsia"/>
          <w:color w:val="000000" w:themeColor="text1"/>
          <w:sz w:val="24"/>
          <w:szCs w:val="24"/>
        </w:rPr>
        <w:t>此承诺书作为项目合同的附件，与项目主合同具有同等效力。经本单位法定代表人或其授权委托人签署并加盖本单位公章后生效。</w:t>
      </w:r>
    </w:p>
    <w:p>
      <w:pPr>
        <w:spacing w:line="400" w:lineRule="exact"/>
        <w:ind w:firstLine="480" w:firstLineChars="200"/>
        <w:jc w:val="left"/>
        <w:rPr>
          <w:color w:val="000000" w:themeColor="text1"/>
          <w:sz w:val="24"/>
          <w:szCs w:val="24"/>
        </w:rPr>
      </w:pPr>
      <w:r>
        <w:rPr>
          <w:rFonts w:hint="eastAsia"/>
          <w:color w:val="000000" w:themeColor="text1"/>
          <w:sz w:val="24"/>
          <w:szCs w:val="24"/>
        </w:rPr>
        <w:t>此致</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3360" w:firstLineChars="1400"/>
        <w:jc w:val="left"/>
        <w:rPr>
          <w:color w:val="000000" w:themeColor="text1"/>
          <w:sz w:val="24"/>
          <w:szCs w:val="24"/>
        </w:rPr>
      </w:pPr>
      <w:r>
        <w:rPr>
          <w:rFonts w:hint="eastAsia"/>
          <w:color w:val="000000" w:themeColor="text1"/>
          <w:sz w:val="24"/>
          <w:szCs w:val="24"/>
        </w:rPr>
        <w:t>承诺方：（盖公章）</w:t>
      </w:r>
    </w:p>
    <w:p>
      <w:pPr>
        <w:spacing w:line="400" w:lineRule="exact"/>
        <w:ind w:firstLine="3240" w:firstLineChars="1350"/>
        <w:jc w:val="left"/>
        <w:rPr>
          <w:color w:val="000000" w:themeColor="text1"/>
          <w:sz w:val="24"/>
          <w:szCs w:val="24"/>
        </w:rPr>
      </w:pPr>
    </w:p>
    <w:p>
      <w:pPr>
        <w:spacing w:line="400" w:lineRule="exact"/>
        <w:ind w:firstLine="3240" w:firstLineChars="1350"/>
        <w:jc w:val="left"/>
        <w:rPr>
          <w:color w:val="000000" w:themeColor="text1"/>
          <w:sz w:val="24"/>
          <w:szCs w:val="24"/>
        </w:rPr>
      </w:pPr>
      <w:r>
        <w:rPr>
          <w:rFonts w:hint="eastAsia"/>
          <w:color w:val="000000" w:themeColor="text1"/>
          <w:sz w:val="24"/>
          <w:szCs w:val="24"/>
        </w:rPr>
        <w:t>承诺方法人代表（或委托人）：（签字盖章）</w:t>
      </w:r>
    </w:p>
    <w:p>
      <w:pPr>
        <w:spacing w:line="400" w:lineRule="exact"/>
        <w:ind w:firstLine="480" w:firstLineChars="200"/>
        <w:jc w:val="left"/>
        <w:rPr>
          <w:color w:val="000000" w:themeColor="text1"/>
          <w:sz w:val="24"/>
          <w:szCs w:val="24"/>
        </w:rPr>
      </w:pPr>
    </w:p>
    <w:p>
      <w:pPr>
        <w:spacing w:line="400" w:lineRule="exact"/>
        <w:ind w:firstLine="5760" w:firstLineChars="2400"/>
        <w:jc w:val="left"/>
        <w:rPr>
          <w:color w:val="000000" w:themeColor="text1"/>
          <w:sz w:val="24"/>
          <w:szCs w:val="24"/>
        </w:rPr>
      </w:pPr>
      <w:r>
        <w:rPr>
          <w:rFonts w:hint="eastAsia"/>
          <w:color w:val="000000" w:themeColor="text1"/>
          <w:sz w:val="24"/>
          <w:szCs w:val="24"/>
        </w:rPr>
        <w:t>年    月   日</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pStyle w:val="2"/>
        <w:spacing w:before="0" w:after="0"/>
        <w:jc w:val="center"/>
        <w:rPr>
          <w:color w:val="000000" w:themeColor="text1"/>
          <w:sz w:val="36"/>
          <w:szCs w:val="36"/>
        </w:rPr>
      </w:pPr>
      <w:bookmarkStart w:id="2" w:name="_Toc186919378"/>
      <w:bookmarkStart w:id="3" w:name="_Toc31025"/>
      <w:r>
        <w:rPr>
          <w:rFonts w:hint="eastAsia"/>
          <w:color w:val="000000" w:themeColor="text1"/>
          <w:sz w:val="36"/>
          <w:szCs w:val="36"/>
        </w:rPr>
        <w:t>第一篇 投标邀请书</w:t>
      </w:r>
      <w:bookmarkEnd w:id="2"/>
      <w:bookmarkEnd w:id="3"/>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r>
        <w:rPr>
          <w:rFonts w:hint="eastAsia" w:ascii="宋体" w:hAnsi="宋体" w:cs="宋体"/>
          <w:color w:val="000000" w:themeColor="text1"/>
          <w:sz w:val="24"/>
          <w:szCs w:val="24"/>
        </w:rPr>
        <w:t>长江师范学院国有资产管理处，对</w:t>
      </w:r>
      <w:r>
        <w:rPr>
          <w:rFonts w:hint="eastAsia" w:ascii="宋体" w:hAnsi="宋体"/>
          <w:color w:val="000000" w:themeColor="text1"/>
          <w:sz w:val="24"/>
          <w:szCs w:val="24"/>
        </w:rPr>
        <w:t>长江师范学院</w:t>
      </w:r>
      <w:r>
        <w:rPr>
          <w:rFonts w:hint="eastAsia"/>
          <w:color w:val="000000" w:themeColor="text1"/>
          <w:sz w:val="24"/>
          <w:szCs w:val="24"/>
        </w:rPr>
        <w:t>南苑食府、接待中心联合经营项目进行公开招标，欢迎符合资格的有实力的餐饮经营服务商参加投标。</w:t>
      </w:r>
    </w:p>
    <w:p>
      <w:pPr>
        <w:pStyle w:val="3"/>
        <w:spacing w:before="0" w:after="0"/>
        <w:rPr>
          <w:color w:val="000000" w:themeColor="text1"/>
          <w:sz w:val="28"/>
          <w:szCs w:val="28"/>
        </w:rPr>
      </w:pPr>
      <w:bookmarkStart w:id="4" w:name="_Toc12768"/>
      <w:bookmarkStart w:id="5" w:name="_Toc186919379"/>
      <w:r>
        <w:rPr>
          <w:rFonts w:hint="eastAsia"/>
          <w:color w:val="000000" w:themeColor="text1"/>
          <w:sz w:val="28"/>
          <w:szCs w:val="28"/>
        </w:rPr>
        <w:t>一、招标项目内容</w:t>
      </w:r>
      <w:bookmarkEnd w:id="4"/>
      <w:bookmarkEnd w:id="5"/>
    </w:p>
    <w:tbl>
      <w:tblPr>
        <w:tblStyle w:val="43"/>
        <w:tblpPr w:leftFromText="180" w:rightFromText="180" w:vertAnchor="text" w:horzAnchor="margin" w:tblpXSpec="center" w:tblpY="94"/>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552"/>
        <w:gridCol w:w="1701"/>
        <w:gridCol w:w="1701"/>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1809" w:type="dxa"/>
            <w:vAlign w:val="center"/>
          </w:tcPr>
          <w:p>
            <w:pPr>
              <w:jc w:val="center"/>
            </w:pPr>
            <w:bookmarkStart w:id="6" w:name="_Toc186919380"/>
            <w:r>
              <w:rPr>
                <w:rFonts w:hint="eastAsia"/>
              </w:rPr>
              <w:t>名称</w:t>
            </w:r>
            <w:bookmarkEnd w:id="6"/>
          </w:p>
        </w:tc>
        <w:tc>
          <w:tcPr>
            <w:tcW w:w="2552" w:type="dxa"/>
            <w:vAlign w:val="center"/>
          </w:tcPr>
          <w:p>
            <w:pPr>
              <w:jc w:val="center"/>
            </w:pPr>
            <w:bookmarkStart w:id="7" w:name="_Toc186919381"/>
            <w:r>
              <w:rPr>
                <w:rFonts w:hint="eastAsia"/>
              </w:rPr>
              <w:t>联合经营面积</w:t>
            </w:r>
            <w:bookmarkEnd w:id="7"/>
          </w:p>
          <w:p>
            <w:pPr>
              <w:jc w:val="center"/>
            </w:pPr>
            <w:r>
              <w:rPr>
                <w:rFonts w:hint="eastAsia"/>
              </w:rPr>
              <w:t>（建面）</w:t>
            </w:r>
          </w:p>
        </w:tc>
        <w:tc>
          <w:tcPr>
            <w:tcW w:w="1701" w:type="dxa"/>
            <w:vAlign w:val="center"/>
          </w:tcPr>
          <w:p>
            <w:pPr>
              <w:jc w:val="center"/>
            </w:pPr>
            <w:bookmarkStart w:id="8" w:name="_Toc186919382"/>
            <w:r>
              <w:rPr>
                <w:rFonts w:hint="eastAsia"/>
              </w:rPr>
              <w:t>年管理费</w:t>
            </w:r>
          </w:p>
          <w:p>
            <w:pPr>
              <w:jc w:val="center"/>
            </w:pPr>
            <w:r>
              <w:rPr>
                <w:rFonts w:hint="eastAsia"/>
              </w:rPr>
              <w:t>（万元人民币）</w:t>
            </w:r>
            <w:bookmarkEnd w:id="8"/>
          </w:p>
        </w:tc>
        <w:tc>
          <w:tcPr>
            <w:tcW w:w="1701" w:type="dxa"/>
            <w:vAlign w:val="center"/>
          </w:tcPr>
          <w:p>
            <w:pPr>
              <w:jc w:val="center"/>
            </w:pPr>
            <w:bookmarkStart w:id="9" w:name="_Toc186919383"/>
            <w:r>
              <w:rPr>
                <w:rFonts w:hint="eastAsia"/>
              </w:rPr>
              <w:t>投标保证金金额（万元人民币）</w:t>
            </w:r>
            <w:bookmarkEnd w:id="9"/>
          </w:p>
        </w:tc>
        <w:tc>
          <w:tcPr>
            <w:tcW w:w="985" w:type="dxa"/>
            <w:vAlign w:val="center"/>
          </w:tcPr>
          <w:p>
            <w:pPr>
              <w:jc w:val="center"/>
            </w:pPr>
            <w:r>
              <w:rPr>
                <w:rFonts w:hint="eastAsia"/>
              </w:rPr>
              <w:t>成交服务商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809" w:type="dxa"/>
            <w:vAlign w:val="center"/>
          </w:tcPr>
          <w:p>
            <w:pPr>
              <w:jc w:val="center"/>
            </w:pPr>
            <w:bookmarkStart w:id="10" w:name="_Toc186919385"/>
            <w:r>
              <w:rPr>
                <w:rFonts w:hint="eastAsia"/>
              </w:rPr>
              <w:t>长江师范学院南苑食府、接待中心联合经营项目</w:t>
            </w:r>
            <w:bookmarkEnd w:id="10"/>
          </w:p>
        </w:tc>
        <w:tc>
          <w:tcPr>
            <w:tcW w:w="2552" w:type="dxa"/>
            <w:vAlign w:val="center"/>
          </w:tcPr>
          <w:p>
            <w:pPr>
              <w:jc w:val="center"/>
            </w:pPr>
            <w:r>
              <w:rPr>
                <w:rFonts w:hint="eastAsia"/>
              </w:rPr>
              <w:t>南苑食府：一楼2932平方米，二楼2932平方米。</w:t>
            </w:r>
          </w:p>
          <w:p>
            <w:pPr>
              <w:jc w:val="center"/>
            </w:pPr>
            <w:r>
              <w:rPr>
                <w:rFonts w:hint="eastAsia"/>
              </w:rPr>
              <w:t>接待中心：二楼1250平方米，三楼437平方米。</w:t>
            </w:r>
          </w:p>
        </w:tc>
        <w:tc>
          <w:tcPr>
            <w:tcW w:w="1701" w:type="dxa"/>
            <w:vAlign w:val="center"/>
          </w:tcPr>
          <w:p>
            <w:pPr>
              <w:jc w:val="center"/>
            </w:pPr>
            <w:bookmarkStart w:id="11" w:name="_Toc186919387"/>
            <w:r>
              <w:rPr>
                <w:rFonts w:hint="eastAsia"/>
              </w:rPr>
              <w:t>1</w:t>
            </w:r>
            <w:r>
              <w:t>00</w:t>
            </w:r>
            <w:bookmarkEnd w:id="11"/>
            <w:r>
              <w:rPr>
                <w:rFonts w:hint="eastAsia"/>
              </w:rPr>
              <w:t>及以上</w:t>
            </w:r>
          </w:p>
        </w:tc>
        <w:tc>
          <w:tcPr>
            <w:tcW w:w="1701" w:type="dxa"/>
            <w:vAlign w:val="center"/>
          </w:tcPr>
          <w:p>
            <w:pPr>
              <w:jc w:val="center"/>
            </w:pPr>
            <w:r>
              <w:rPr>
                <w:rFonts w:hint="eastAsia"/>
              </w:rPr>
              <w:t>2</w:t>
            </w:r>
          </w:p>
        </w:tc>
        <w:tc>
          <w:tcPr>
            <w:tcW w:w="985" w:type="dxa"/>
          </w:tcPr>
          <w:p>
            <w:pPr>
              <w:rPr>
                <w:rFonts w:hint="eastAsia"/>
              </w:rPr>
            </w:pPr>
            <w:r>
              <w:rPr>
                <w:rFonts w:hint="eastAsia"/>
              </w:rPr>
              <w:t xml:space="preserve">  </w:t>
            </w:r>
          </w:p>
          <w:p>
            <w:pPr>
              <w:ind w:firstLine="210" w:firstLineChars="100"/>
            </w:pPr>
            <w:r>
              <w:rPr>
                <w:rFonts w:hint="eastAsia"/>
              </w:rPr>
              <w:t>1名</w:t>
            </w:r>
          </w:p>
        </w:tc>
      </w:tr>
    </w:tbl>
    <w:p>
      <w:pPr>
        <w:spacing w:line="360" w:lineRule="auto"/>
        <w:ind w:firstLine="480" w:firstLineChars="200"/>
        <w:rPr>
          <w:color w:val="000000" w:themeColor="text1"/>
          <w:sz w:val="24"/>
          <w:szCs w:val="24"/>
        </w:rPr>
      </w:pPr>
      <w:r>
        <w:rPr>
          <w:rFonts w:hint="eastAsia"/>
          <w:color w:val="000000" w:themeColor="text1"/>
          <w:sz w:val="24"/>
          <w:szCs w:val="24"/>
        </w:rPr>
        <w:t>联合经营是指投资者在校方指定的校内场地投资经营餐饮并接受校方监管和向校方缴纳管理费的经营方式。</w:t>
      </w:r>
    </w:p>
    <w:p>
      <w:pPr>
        <w:pStyle w:val="3"/>
        <w:spacing w:before="0" w:after="0"/>
        <w:rPr>
          <w:color w:val="000000" w:themeColor="text1"/>
          <w:sz w:val="28"/>
          <w:szCs w:val="28"/>
        </w:rPr>
      </w:pPr>
      <w:bookmarkStart w:id="12" w:name="_Toc31570"/>
      <w:bookmarkStart w:id="13" w:name="_Toc186919389"/>
      <w:r>
        <w:rPr>
          <w:rFonts w:hint="eastAsia"/>
          <w:color w:val="000000" w:themeColor="text1"/>
          <w:sz w:val="28"/>
          <w:szCs w:val="28"/>
        </w:rPr>
        <w:t>二、投标人资格要求</w:t>
      </w:r>
      <w:bookmarkEnd w:id="12"/>
      <w:bookmarkEnd w:id="13"/>
    </w:p>
    <w:p>
      <w:pPr>
        <w:spacing w:line="400" w:lineRule="exact"/>
        <w:jc w:val="left"/>
        <w:rPr>
          <w:b/>
          <w:color w:val="000000" w:themeColor="text1"/>
          <w:sz w:val="28"/>
          <w:szCs w:val="28"/>
        </w:rPr>
      </w:pPr>
      <w:r>
        <w:rPr>
          <w:rFonts w:hint="eastAsia"/>
          <w:b/>
          <w:color w:val="000000" w:themeColor="text1"/>
          <w:sz w:val="28"/>
          <w:szCs w:val="28"/>
        </w:rPr>
        <w:t>（一）</w:t>
      </w:r>
      <w:r>
        <w:rPr>
          <w:rFonts w:hint="eastAsia" w:ascii="宋体" w:hAnsi="宋体"/>
          <w:color w:val="000000" w:themeColor="text1"/>
          <w:sz w:val="24"/>
          <w:szCs w:val="24"/>
        </w:rPr>
        <w:t>合格投标人应首先符合政府采购法第二十二条规定的基本条件。</w:t>
      </w:r>
    </w:p>
    <w:p>
      <w:pPr>
        <w:snapToGrid w:val="0"/>
        <w:spacing w:line="52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w:t>
      </w:r>
      <w:r>
        <w:rPr>
          <w:rFonts w:hint="eastAsia" w:ascii="宋体" w:hAnsi="宋体"/>
          <w:color w:val="000000" w:themeColor="text1"/>
          <w:sz w:val="24"/>
          <w:szCs w:val="24"/>
        </w:rPr>
        <w:t>）具有独立承担民事责任的能力；</w:t>
      </w:r>
    </w:p>
    <w:p>
      <w:pPr>
        <w:snapToGrid w:val="0"/>
        <w:spacing w:line="52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2</w:t>
      </w:r>
      <w:r>
        <w:rPr>
          <w:rFonts w:hint="eastAsia" w:ascii="宋体" w:hAnsi="宋体"/>
          <w:color w:val="000000" w:themeColor="text1"/>
          <w:sz w:val="24"/>
          <w:szCs w:val="24"/>
        </w:rPr>
        <w:t>）具有良好的商业信誉和健全的财务会计制度；</w:t>
      </w:r>
    </w:p>
    <w:p>
      <w:pPr>
        <w:snapToGrid w:val="0"/>
        <w:spacing w:line="52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3</w:t>
      </w:r>
      <w:r>
        <w:rPr>
          <w:rFonts w:hint="eastAsia" w:ascii="宋体" w:hAnsi="宋体"/>
          <w:color w:val="000000" w:themeColor="text1"/>
          <w:sz w:val="24"/>
          <w:szCs w:val="24"/>
        </w:rPr>
        <w:t>）具有履行合同所必需的设备和专业技术；</w:t>
      </w:r>
    </w:p>
    <w:p>
      <w:pPr>
        <w:snapToGrid w:val="0"/>
        <w:spacing w:line="52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4</w:t>
      </w:r>
      <w:r>
        <w:rPr>
          <w:rFonts w:hint="eastAsia" w:ascii="宋体" w:hAnsi="宋体"/>
          <w:color w:val="000000" w:themeColor="text1"/>
          <w:sz w:val="24"/>
          <w:szCs w:val="24"/>
        </w:rPr>
        <w:t>）有依法缴纳税收和社会保障资金的良好记录；</w:t>
      </w:r>
    </w:p>
    <w:p>
      <w:pPr>
        <w:snapToGrid w:val="0"/>
        <w:spacing w:line="52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5</w:t>
      </w:r>
      <w:r>
        <w:rPr>
          <w:rFonts w:hint="eastAsia" w:ascii="宋体" w:hAnsi="宋体"/>
          <w:color w:val="000000" w:themeColor="text1"/>
          <w:sz w:val="24"/>
          <w:szCs w:val="24"/>
        </w:rPr>
        <w:t>）投标人必须签署并加盖本单位公章的廉洁承诺书和在参加政府采购活动前三年内，在经营活动中没有重大违法记录；</w:t>
      </w:r>
    </w:p>
    <w:p>
      <w:pPr>
        <w:snapToGrid w:val="0"/>
        <w:spacing w:line="52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6</w:t>
      </w:r>
      <w:r>
        <w:rPr>
          <w:rFonts w:hint="eastAsia" w:ascii="宋体" w:hAnsi="宋体"/>
          <w:color w:val="000000" w:themeColor="text1"/>
          <w:sz w:val="24"/>
          <w:szCs w:val="24"/>
        </w:rPr>
        <w:t>）法律、行政法规规定的其他条件。</w:t>
      </w:r>
    </w:p>
    <w:p>
      <w:pPr>
        <w:spacing w:line="360" w:lineRule="auto"/>
        <w:rPr>
          <w:b/>
          <w:color w:val="000000" w:themeColor="text1"/>
          <w:sz w:val="28"/>
          <w:szCs w:val="28"/>
        </w:rPr>
      </w:pPr>
      <w:r>
        <w:rPr>
          <w:rFonts w:hint="eastAsia"/>
          <w:b/>
          <w:color w:val="000000" w:themeColor="text1"/>
          <w:sz w:val="28"/>
          <w:szCs w:val="28"/>
        </w:rPr>
        <w:t>（二）特定资格条件</w:t>
      </w:r>
    </w:p>
    <w:p>
      <w:pPr>
        <w:spacing w:line="360" w:lineRule="auto"/>
        <w:ind w:firstLine="360" w:firstLineChars="150"/>
        <w:jc w:val="left"/>
        <w:rPr>
          <w:color w:val="000000" w:themeColor="text1"/>
          <w:sz w:val="24"/>
          <w:szCs w:val="24"/>
        </w:rPr>
      </w:pPr>
      <w:r>
        <w:rPr>
          <w:color w:val="000000" w:themeColor="text1"/>
          <w:sz w:val="24"/>
          <w:szCs w:val="24"/>
        </w:rPr>
        <w:t>1</w:t>
      </w:r>
      <w:r>
        <w:rPr>
          <w:rFonts w:hint="eastAsia"/>
          <w:color w:val="000000" w:themeColor="text1"/>
          <w:sz w:val="24"/>
          <w:szCs w:val="24"/>
        </w:rPr>
        <w:t>．投标人需持有有效的食品药品监督管理局颁发的经营地在高校食堂的餐饮服务许可证（提供证书复印件并加盖鲜章，原件备查）；</w:t>
      </w:r>
    </w:p>
    <w:p>
      <w:pPr>
        <w:spacing w:line="400" w:lineRule="exact"/>
        <w:ind w:firstLine="360" w:firstLineChars="150"/>
        <w:jc w:val="left"/>
        <w:rPr>
          <w:color w:val="000000" w:themeColor="text1"/>
          <w:sz w:val="24"/>
          <w:szCs w:val="24"/>
        </w:rPr>
      </w:pPr>
      <w:r>
        <w:rPr>
          <w:color w:val="000000" w:themeColor="text1"/>
          <w:sz w:val="24"/>
          <w:szCs w:val="24"/>
        </w:rPr>
        <w:t>2</w:t>
      </w:r>
      <w:r>
        <w:rPr>
          <w:rFonts w:hint="eastAsia"/>
          <w:color w:val="000000" w:themeColor="text1"/>
          <w:sz w:val="24"/>
          <w:szCs w:val="24"/>
        </w:rPr>
        <w:t>．投标人具有重庆教育后勤协会颁发的有效的《社会企业经营高校学生食堂准入证书》（提供证书复印件并加盖鲜章，原件备查）；</w:t>
      </w:r>
    </w:p>
    <w:p>
      <w:pPr>
        <w:spacing w:line="400" w:lineRule="exact"/>
        <w:ind w:firstLine="360" w:firstLineChars="150"/>
        <w:jc w:val="left"/>
        <w:rPr>
          <w:color w:val="000000" w:themeColor="text1"/>
          <w:sz w:val="24"/>
          <w:szCs w:val="24"/>
        </w:rPr>
      </w:pPr>
      <w:r>
        <w:rPr>
          <w:color w:val="000000" w:themeColor="text1"/>
          <w:sz w:val="24"/>
          <w:szCs w:val="24"/>
        </w:rPr>
        <w:t>3</w:t>
      </w:r>
      <w:r>
        <w:rPr>
          <w:rFonts w:hint="eastAsia"/>
          <w:color w:val="000000" w:themeColor="text1"/>
          <w:sz w:val="24"/>
          <w:szCs w:val="24"/>
        </w:rPr>
        <w:t>．投标人需从事全日制普通本科高校食堂经营不少于</w:t>
      </w:r>
      <w:r>
        <w:rPr>
          <w:color w:val="000000" w:themeColor="text1"/>
          <w:sz w:val="24"/>
          <w:szCs w:val="24"/>
        </w:rPr>
        <w:t>3</w:t>
      </w:r>
      <w:r>
        <w:rPr>
          <w:rFonts w:hint="eastAsia"/>
          <w:color w:val="000000" w:themeColor="text1"/>
          <w:sz w:val="24"/>
          <w:szCs w:val="24"/>
        </w:rPr>
        <w:t>所，其中一所高校食堂经营时间不少于</w:t>
      </w:r>
      <w:r>
        <w:rPr>
          <w:color w:val="000000" w:themeColor="text1"/>
          <w:sz w:val="24"/>
          <w:szCs w:val="24"/>
        </w:rPr>
        <w:t>2</w:t>
      </w:r>
      <w:r>
        <w:rPr>
          <w:rFonts w:hint="eastAsia"/>
          <w:color w:val="000000" w:themeColor="text1"/>
          <w:sz w:val="24"/>
          <w:szCs w:val="24"/>
        </w:rPr>
        <w:t>年和经营总面积不少于</w:t>
      </w:r>
      <w:r>
        <w:rPr>
          <w:color w:val="000000" w:themeColor="text1"/>
          <w:sz w:val="24"/>
          <w:szCs w:val="24"/>
        </w:rPr>
        <w:t>3000</w:t>
      </w:r>
      <w:r>
        <w:rPr>
          <w:rFonts w:hint="eastAsia"/>
          <w:color w:val="000000" w:themeColor="text1"/>
          <w:sz w:val="24"/>
          <w:szCs w:val="24"/>
        </w:rPr>
        <w:t>平方米（提供合同复印件，原件备查）；</w:t>
      </w:r>
    </w:p>
    <w:p>
      <w:pPr>
        <w:pStyle w:val="3"/>
        <w:spacing w:before="0" w:after="0"/>
        <w:ind w:firstLine="562" w:firstLineChars="200"/>
        <w:rPr>
          <w:color w:val="000000" w:themeColor="text1"/>
          <w:sz w:val="28"/>
          <w:szCs w:val="28"/>
        </w:rPr>
      </w:pPr>
      <w:bookmarkStart w:id="14" w:name="_Toc1456"/>
      <w:bookmarkStart w:id="15" w:name="_Toc186919390"/>
      <w:r>
        <w:rPr>
          <w:rFonts w:hint="eastAsia"/>
          <w:color w:val="000000" w:themeColor="text1"/>
          <w:sz w:val="28"/>
          <w:szCs w:val="28"/>
        </w:rPr>
        <w:t>三、投标、开标有关说明</w:t>
      </w:r>
      <w:bookmarkEnd w:id="14"/>
      <w:bookmarkEnd w:id="15"/>
    </w:p>
    <w:p>
      <w:pPr>
        <w:spacing w:line="400" w:lineRule="exact"/>
        <w:ind w:firstLine="480" w:firstLineChars="200"/>
        <w:jc w:val="left"/>
        <w:rPr>
          <w:color w:val="000000" w:themeColor="text1"/>
          <w:sz w:val="24"/>
          <w:szCs w:val="24"/>
        </w:rPr>
      </w:pPr>
      <w:r>
        <w:rPr>
          <w:rFonts w:hint="eastAsia"/>
          <w:sz w:val="24"/>
          <w:szCs w:val="24"/>
        </w:rPr>
        <w:t>（一）凡符合资格的经营服务商，请于公告发布之日（</w:t>
      </w:r>
      <w:r>
        <w:rPr>
          <w:sz w:val="24"/>
          <w:szCs w:val="24"/>
        </w:rPr>
        <w:t>201</w:t>
      </w:r>
      <w:r>
        <w:rPr>
          <w:rFonts w:hint="eastAsia"/>
          <w:sz w:val="24"/>
          <w:szCs w:val="24"/>
        </w:rPr>
        <w:t>8年6月15日）起至投标截止时间之前，在长江师范学院校园（</w:t>
      </w:r>
      <w:r>
        <w:rPr>
          <w:sz w:val="24"/>
          <w:szCs w:val="24"/>
        </w:rPr>
        <w:t>http://www.yznu.cn</w:t>
      </w:r>
      <w:r>
        <w:rPr>
          <w:rFonts w:hint="eastAsia"/>
          <w:sz w:val="24"/>
          <w:szCs w:val="24"/>
        </w:rPr>
        <w:t>）上下载本项目招标文件、补遗（如果有）等开标前公布的所有项目资料，无论投标人下载与否，均视为已知晓所有招标内容，招标文件购买费在各供应商递交投标文件时</w:t>
      </w:r>
      <w:r>
        <w:rPr>
          <w:rFonts w:hint="eastAsia"/>
          <w:color w:val="000000" w:themeColor="text1"/>
          <w:sz w:val="24"/>
          <w:szCs w:val="24"/>
        </w:rPr>
        <w:t>一并缴纳。</w:t>
      </w:r>
    </w:p>
    <w:p>
      <w:pPr>
        <w:spacing w:line="400" w:lineRule="exact"/>
        <w:ind w:firstLine="480" w:firstLineChars="200"/>
        <w:jc w:val="left"/>
        <w:rPr>
          <w:sz w:val="24"/>
          <w:szCs w:val="24"/>
        </w:rPr>
      </w:pPr>
      <w:r>
        <w:rPr>
          <w:rFonts w:hint="eastAsia"/>
          <w:sz w:val="24"/>
          <w:szCs w:val="24"/>
        </w:rPr>
        <w:t>（二）招标文件公告期限：自招标公告发布之日（</w:t>
      </w:r>
      <w:r>
        <w:rPr>
          <w:sz w:val="24"/>
          <w:szCs w:val="24"/>
        </w:rPr>
        <w:t>201</w:t>
      </w:r>
      <w:r>
        <w:rPr>
          <w:rFonts w:hint="eastAsia"/>
          <w:sz w:val="24"/>
          <w:szCs w:val="24"/>
        </w:rPr>
        <w:t>8年6月15日）起二十个日历日。</w:t>
      </w:r>
    </w:p>
    <w:p>
      <w:pPr>
        <w:spacing w:line="400" w:lineRule="exact"/>
        <w:ind w:firstLine="480" w:firstLineChars="200"/>
        <w:rPr>
          <w:rFonts w:ascii="宋体"/>
          <w:color w:val="000000" w:themeColor="text1"/>
          <w:sz w:val="24"/>
          <w:szCs w:val="24"/>
        </w:rPr>
      </w:pPr>
      <w:r>
        <w:rPr>
          <w:rFonts w:hint="eastAsia"/>
          <w:sz w:val="24"/>
          <w:szCs w:val="24"/>
        </w:rPr>
        <w:t>（三）招标文件资料购买费为：</w:t>
      </w:r>
      <w:r>
        <w:rPr>
          <w:sz w:val="24"/>
          <w:szCs w:val="24"/>
        </w:rPr>
        <w:t>1000</w:t>
      </w:r>
      <w:r>
        <w:rPr>
          <w:rFonts w:hint="eastAsia"/>
          <w:sz w:val="24"/>
          <w:szCs w:val="24"/>
        </w:rPr>
        <w:t>元人民币/份，（售后不退），投标人在</w:t>
      </w:r>
      <w:r>
        <w:rPr>
          <w:rFonts w:hint="eastAsia" w:ascii="宋体" w:hAnsi="宋体"/>
          <w:sz w:val="24"/>
          <w:szCs w:val="24"/>
        </w:rPr>
        <w:t>开标当天上午9</w:t>
      </w:r>
      <w:r>
        <w:rPr>
          <w:rFonts w:ascii="宋体" w:hAnsi="宋体"/>
          <w:sz w:val="24"/>
          <w:szCs w:val="24"/>
        </w:rPr>
        <w:t>:</w:t>
      </w:r>
      <w:r>
        <w:rPr>
          <w:rFonts w:hint="eastAsia" w:ascii="宋体" w:hAnsi="宋体"/>
          <w:sz w:val="24"/>
          <w:szCs w:val="24"/>
        </w:rPr>
        <w:t>3</w:t>
      </w:r>
      <w:r>
        <w:rPr>
          <w:rFonts w:ascii="宋体" w:hAnsi="宋体"/>
          <w:sz w:val="24"/>
          <w:szCs w:val="24"/>
        </w:rPr>
        <w:t>0</w:t>
      </w:r>
      <w:r>
        <w:rPr>
          <w:rFonts w:hint="eastAsia" w:ascii="宋体" w:hAnsi="宋体"/>
          <w:sz w:val="24"/>
          <w:szCs w:val="24"/>
        </w:rPr>
        <w:t>时前向长江师范学院财务处缴纳，递交投标文件时出示招标文件资料购买费票据；如递交投标文件后未缴纳招标文件资料购买费，则不具备</w:t>
      </w:r>
      <w:r>
        <w:rPr>
          <w:rFonts w:hint="eastAsia" w:ascii="宋体" w:hAnsi="宋体"/>
          <w:color w:val="000000" w:themeColor="text1"/>
          <w:sz w:val="24"/>
          <w:szCs w:val="24"/>
        </w:rPr>
        <w:t>有效的投标资格。校内任何部门和个人不得截留招标文件资料购买费。</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（四）投标人须满足以下三种要件，其投标才被接受：</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1.按时递交了投标文件；</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2.按时报名签到；</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3.规定时间内缴纳了招标文件资料购买费。</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（五）开投标地点：长江师范学院图书馆106招标室（重庆市涪陵区李渡聚贤大道16号）</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（六）投标截止时间：2018年7月6日北京时间上午10:00</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（七）开标时间：2018年7月6日北京时间上午10:00</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（八）评标地点：</w:t>
      </w:r>
      <w:bookmarkStart w:id="16" w:name="_Toc186919391"/>
      <w:r>
        <w:rPr>
          <w:rFonts w:hint="eastAsia" w:ascii="宋体" w:hAnsi="宋体"/>
          <w:color w:val="000000" w:themeColor="text1"/>
          <w:sz w:val="24"/>
          <w:szCs w:val="24"/>
        </w:rPr>
        <w:t>长江师范学院图书馆205评标室（重庆市涪陵区李渡聚贤大道16号）</w:t>
      </w:r>
    </w:p>
    <w:p>
      <w:pPr>
        <w:pStyle w:val="3"/>
        <w:spacing w:before="0" w:after="0"/>
        <w:ind w:firstLine="562" w:firstLineChars="200"/>
        <w:rPr>
          <w:rFonts w:hint="eastAsia"/>
          <w:color w:val="000000" w:themeColor="text1"/>
          <w:sz w:val="28"/>
          <w:szCs w:val="28"/>
        </w:rPr>
      </w:pPr>
      <w:bookmarkStart w:id="17" w:name="_Toc12008"/>
      <w:r>
        <w:rPr>
          <w:rFonts w:hint="eastAsia"/>
          <w:color w:val="000000" w:themeColor="text1"/>
          <w:sz w:val="28"/>
          <w:szCs w:val="28"/>
        </w:rPr>
        <w:t>四、投标保证金</w:t>
      </w:r>
      <w:bookmarkEnd w:id="16"/>
      <w:bookmarkEnd w:id="17"/>
    </w:p>
    <w:p>
      <w:pPr>
        <w:snapToGrid w:val="0"/>
        <w:spacing w:line="400" w:lineRule="exact"/>
        <w:ind w:firstLine="480" w:firstLineChars="200"/>
        <w:rPr>
          <w:rFonts w:ascii="宋体" w:hAnsi="宋体"/>
          <w:color w:val="000000" w:themeColor="text1"/>
          <w:sz w:val="24"/>
          <w:szCs w:val="24"/>
        </w:rPr>
      </w:pPr>
      <w:bookmarkStart w:id="18" w:name="_Toc186919392"/>
      <w:r>
        <w:rPr>
          <w:rFonts w:hint="eastAsia" w:ascii="宋体" w:hAnsi="宋体"/>
          <w:color w:val="000000" w:themeColor="text1"/>
          <w:sz w:val="24"/>
          <w:szCs w:val="24"/>
        </w:rPr>
        <w:t>（一）缴纳投标保证金方式</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按《重庆市财政局关于进一步规范投标报名及保证金缴纳的通知》（渝财采购﹝2013﹞30号）文的规定，投标保证金实行分项目单次递交。具体缴纳方式如下：</w:t>
      </w:r>
    </w:p>
    <w:p>
      <w:pPr>
        <w:snapToGrid w:val="0"/>
        <w:spacing w:line="400" w:lineRule="exact"/>
        <w:ind w:firstLine="480" w:firstLineChars="200"/>
        <w:rPr>
          <w:rFonts w:ascii="宋体" w:hAnsi="宋体"/>
          <w:sz w:val="24"/>
          <w:szCs w:val="24"/>
        </w:rPr>
      </w:pPr>
      <w:r>
        <w:rPr>
          <w:rFonts w:hint="eastAsia" w:ascii="宋体" w:hAnsi="宋体"/>
          <w:sz w:val="24"/>
          <w:szCs w:val="24"/>
        </w:rPr>
        <w:t>按本项目规定的投标保证金由投标人从其基本账户将投标保证金汇至长江师范学院的账号上，同时在进账凭证上明确“******”的招标项目编号，投标保证金的到账截止时间为开标当天上午9:30时。校内任何部门和个人不得截留投标保证金。</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递交投标保证金账户</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户  名：长江师范学院。</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开户行：重庆农村商业银行涪陵支行李渡分理处。</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账  号：2406080120010001028。</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1.投标人须在付款凭证备注栏中注明本项目的名称和计划编号；</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2.各投标人在银行转账（电汇）时，须充分考虑银行转账（电汇）的时间差风险，如同城转账、异地转账或汇款、跨行转账或电汇的时间要求；</w:t>
      </w:r>
    </w:p>
    <w:p>
      <w:pPr>
        <w:snapToGrid w:val="0"/>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3.各投标人在递交投标保证金时，到款账户为上述指定的投标保证金专用账户，来款账户必须为本公司基本账户。</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（二）投标保证金退还方式</w:t>
      </w:r>
    </w:p>
    <w:p>
      <w:pPr>
        <w:snapToGrid w:val="0"/>
        <w:spacing w:line="40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.未中标投标人的投标保证金，在中标通知书发放后，由长江师范学院国有资产管理处出具退款书面通知；长江师范学院财务处在</w:t>
      </w:r>
      <w:r>
        <w:rPr>
          <w:rFonts w:ascii="宋体" w:hAnsi="宋体"/>
          <w:sz w:val="24"/>
          <w:szCs w:val="24"/>
        </w:rPr>
        <w:t>5</w:t>
      </w:r>
      <w:r>
        <w:rPr>
          <w:rFonts w:hint="eastAsia" w:ascii="宋体" w:hAnsi="宋体"/>
          <w:sz w:val="24"/>
          <w:szCs w:val="24"/>
        </w:rPr>
        <w:t>个工作日内按来款渠道无息退还。</w:t>
      </w:r>
    </w:p>
    <w:p>
      <w:pPr>
        <w:snapToGrid w:val="0"/>
        <w:spacing w:line="400" w:lineRule="exact"/>
        <w:ind w:firstLine="480" w:firstLineChars="200"/>
        <w:rPr>
          <w:rFonts w:ascii="宋体"/>
          <w:color w:val="000000" w:themeColor="text1"/>
          <w:sz w:val="24"/>
          <w:szCs w:val="24"/>
        </w:rPr>
      </w:pPr>
      <w:r>
        <w:rPr>
          <w:rFonts w:ascii="宋体" w:hAnsi="宋体"/>
          <w:sz w:val="24"/>
          <w:szCs w:val="24"/>
        </w:rPr>
        <w:t>2</w:t>
      </w:r>
      <w:r>
        <w:rPr>
          <w:rFonts w:hint="eastAsia" w:ascii="宋体" w:hAnsi="宋体"/>
          <w:sz w:val="24"/>
          <w:szCs w:val="24"/>
        </w:rPr>
        <w:t>.中</w:t>
      </w:r>
      <w:r>
        <w:rPr>
          <w:rFonts w:hint="eastAsia" w:ascii="宋体" w:hAnsi="宋体"/>
          <w:color w:val="000000" w:themeColor="text1"/>
          <w:sz w:val="24"/>
          <w:szCs w:val="24"/>
        </w:rPr>
        <w:t>标人的投标保证金自动转为履约保证金。履约保证金用于执行合同的约束，如违反合同要求没收履约保证金。合同履行结束后，中标人无违约责任方可办理履约保证金退款手续，退款手续完清后长江师范学院财务处在</w:t>
      </w:r>
      <w:r>
        <w:rPr>
          <w:rFonts w:ascii="宋体" w:hAnsi="宋体"/>
          <w:color w:val="000000" w:themeColor="text1"/>
          <w:sz w:val="24"/>
          <w:szCs w:val="24"/>
        </w:rPr>
        <w:t>5</w:t>
      </w:r>
      <w:r>
        <w:rPr>
          <w:rFonts w:hint="eastAsia" w:ascii="宋体" w:hAnsi="宋体"/>
          <w:color w:val="000000" w:themeColor="text1"/>
          <w:sz w:val="24"/>
          <w:szCs w:val="24"/>
        </w:rPr>
        <w:t>个工作日内按来款渠道无息直接退还。</w:t>
      </w:r>
    </w:p>
    <w:p>
      <w:pPr>
        <w:pStyle w:val="3"/>
        <w:spacing w:before="0" w:after="0"/>
        <w:rPr>
          <w:color w:val="000000" w:themeColor="text1"/>
          <w:sz w:val="28"/>
          <w:szCs w:val="28"/>
        </w:rPr>
      </w:pPr>
      <w:bookmarkStart w:id="19" w:name="_Toc9463"/>
      <w:r>
        <w:rPr>
          <w:rFonts w:hint="eastAsia"/>
          <w:color w:val="000000" w:themeColor="text1"/>
          <w:sz w:val="28"/>
          <w:szCs w:val="28"/>
        </w:rPr>
        <w:t>五、投标有关规定</w:t>
      </w:r>
      <w:bookmarkEnd w:id="18"/>
      <w:bookmarkEnd w:id="19"/>
    </w:p>
    <w:p>
      <w:pPr>
        <w:tabs>
          <w:tab w:val="left" w:pos="1255"/>
          <w:tab w:val="left" w:pos="1506"/>
        </w:tabs>
        <w:snapToGrid w:val="0"/>
        <w:spacing w:line="400" w:lineRule="exact"/>
        <w:ind w:firstLine="480" w:firstLineChars="200"/>
        <w:rPr>
          <w:rFonts w:ascii="宋体"/>
          <w:color w:val="000000" w:themeColor="text1"/>
          <w:sz w:val="24"/>
          <w:szCs w:val="24"/>
        </w:rPr>
      </w:pPr>
      <w:r>
        <w:rPr>
          <w:rFonts w:hint="eastAsia"/>
          <w:color w:val="000000" w:themeColor="text1"/>
          <w:sz w:val="24"/>
          <w:szCs w:val="24"/>
        </w:rPr>
        <w:t>（一）</w:t>
      </w:r>
      <w:r>
        <w:rPr>
          <w:rFonts w:hint="eastAsia" w:ascii="宋体" w:hAnsi="宋体"/>
          <w:color w:val="000000" w:themeColor="text1"/>
          <w:sz w:val="24"/>
          <w:szCs w:val="24"/>
        </w:rPr>
        <w:t>单位负责人为同一人或者存在直接控股、管理关系的不同服务商，不得参加同一合同项下的政府采购活动。</w:t>
      </w:r>
    </w:p>
    <w:p>
      <w:pPr>
        <w:tabs>
          <w:tab w:val="left" w:pos="1255"/>
          <w:tab w:val="left" w:pos="1506"/>
        </w:tabs>
        <w:snapToGrid w:val="0"/>
        <w:spacing w:line="400" w:lineRule="exact"/>
        <w:ind w:firstLine="480" w:firstLineChars="200"/>
        <w:rPr>
          <w:rFonts w:ascii="宋体"/>
          <w:color w:val="000000" w:themeColor="text1"/>
          <w:sz w:val="24"/>
          <w:szCs w:val="24"/>
        </w:rPr>
      </w:pPr>
      <w:r>
        <w:rPr>
          <w:rFonts w:hint="eastAsia"/>
          <w:color w:val="000000" w:themeColor="text1"/>
          <w:sz w:val="24"/>
          <w:szCs w:val="24"/>
        </w:rPr>
        <w:t>（二）</w:t>
      </w:r>
      <w:r>
        <w:rPr>
          <w:rFonts w:hint="eastAsia" w:ascii="宋体" w:hAnsi="宋体"/>
          <w:color w:val="000000" w:themeColor="text1"/>
          <w:sz w:val="24"/>
          <w:szCs w:val="24"/>
        </w:rPr>
        <w:t>为采购项目提供整体设计、规范编制或者项目管理、监理、检测等服务的服务商，不得再参加该采购项目的其他采购活动。</w:t>
      </w:r>
    </w:p>
    <w:p>
      <w:pPr>
        <w:spacing w:line="400" w:lineRule="exact"/>
        <w:ind w:firstLine="480" w:firstLineChars="200"/>
        <w:jc w:val="left"/>
        <w:rPr>
          <w:color w:val="000000" w:themeColor="text1"/>
          <w:sz w:val="24"/>
          <w:szCs w:val="24"/>
        </w:rPr>
      </w:pPr>
      <w:r>
        <w:rPr>
          <w:rFonts w:hint="eastAsia"/>
          <w:color w:val="000000" w:themeColor="text1"/>
          <w:sz w:val="24"/>
          <w:szCs w:val="24"/>
        </w:rPr>
        <w:t>（三）本项目的补遗文件（如果有）一律在长江师范学院校园网上（</w:t>
      </w:r>
      <w:r>
        <w:rPr>
          <w:color w:val="000000" w:themeColor="text1"/>
          <w:sz w:val="24"/>
          <w:szCs w:val="24"/>
        </w:rPr>
        <w:t>http://www.yznu.cn</w:t>
      </w:r>
      <w:r>
        <w:rPr>
          <w:rFonts w:hint="eastAsia"/>
          <w:color w:val="000000" w:themeColor="text1"/>
          <w:sz w:val="24"/>
          <w:szCs w:val="24"/>
        </w:rPr>
        <w:t>）上发布，请各投标人注意下载；无论投标人下载与否，均视同投标人已知晓本项目补遗文件（如果有）的内容。</w:t>
      </w:r>
    </w:p>
    <w:p>
      <w:pPr>
        <w:spacing w:line="400" w:lineRule="exact"/>
        <w:ind w:firstLine="480" w:firstLineChars="200"/>
        <w:jc w:val="left"/>
        <w:rPr>
          <w:color w:val="000000" w:themeColor="text1"/>
          <w:sz w:val="24"/>
          <w:szCs w:val="24"/>
        </w:rPr>
      </w:pPr>
      <w:r>
        <w:rPr>
          <w:rFonts w:hint="eastAsia"/>
          <w:color w:val="000000" w:themeColor="text1"/>
          <w:sz w:val="24"/>
          <w:szCs w:val="24"/>
        </w:rPr>
        <w:t>（四）超过投标截止时间递交的投标文件，恕不接收。</w:t>
      </w:r>
    </w:p>
    <w:p>
      <w:pPr>
        <w:spacing w:line="400" w:lineRule="exact"/>
        <w:ind w:firstLine="480" w:firstLineChars="200"/>
        <w:jc w:val="left"/>
        <w:rPr>
          <w:color w:val="000000" w:themeColor="text1"/>
          <w:sz w:val="24"/>
          <w:szCs w:val="24"/>
        </w:rPr>
      </w:pPr>
      <w:r>
        <w:rPr>
          <w:rFonts w:hint="eastAsia"/>
          <w:color w:val="000000" w:themeColor="text1"/>
          <w:sz w:val="24"/>
          <w:szCs w:val="24"/>
        </w:rPr>
        <w:t>（五）投标费用：无论投标结果如何，投标人参与本项目投标的所有费用均应由投标人自行承担。</w:t>
      </w:r>
    </w:p>
    <w:p>
      <w:pPr>
        <w:pStyle w:val="3"/>
        <w:spacing w:before="0" w:after="0"/>
        <w:ind w:firstLine="562" w:firstLineChars="200"/>
        <w:rPr>
          <w:color w:val="000000" w:themeColor="text1"/>
          <w:sz w:val="28"/>
          <w:szCs w:val="28"/>
        </w:rPr>
      </w:pPr>
      <w:bookmarkStart w:id="20" w:name="_Toc186919393"/>
      <w:bookmarkStart w:id="21" w:name="_Toc19861"/>
      <w:r>
        <w:rPr>
          <w:rFonts w:hint="eastAsia"/>
          <w:color w:val="000000" w:themeColor="text1"/>
          <w:sz w:val="28"/>
          <w:szCs w:val="28"/>
        </w:rPr>
        <w:t>六、联系方式</w:t>
      </w:r>
      <w:bookmarkEnd w:id="20"/>
      <w:bookmarkEnd w:id="21"/>
    </w:p>
    <w:p>
      <w:pPr>
        <w:spacing w:line="400" w:lineRule="exact"/>
        <w:ind w:firstLine="480" w:firstLineChars="200"/>
        <w:jc w:val="left"/>
        <w:rPr>
          <w:color w:val="000000" w:themeColor="text1"/>
          <w:sz w:val="24"/>
          <w:szCs w:val="24"/>
        </w:rPr>
      </w:pPr>
      <w:r>
        <w:rPr>
          <w:rFonts w:hint="eastAsia"/>
          <w:color w:val="000000" w:themeColor="text1"/>
          <w:sz w:val="24"/>
          <w:szCs w:val="24"/>
        </w:rPr>
        <w:t>（一）采购部门：长江师范学院国有资产管理处</w:t>
      </w:r>
    </w:p>
    <w:p>
      <w:pPr>
        <w:spacing w:line="400" w:lineRule="exact"/>
        <w:ind w:firstLine="480" w:firstLineChars="200"/>
        <w:jc w:val="left"/>
        <w:rPr>
          <w:color w:val="000000" w:themeColor="text1"/>
          <w:sz w:val="24"/>
          <w:szCs w:val="24"/>
        </w:rPr>
      </w:pPr>
      <w:r>
        <w:rPr>
          <w:rFonts w:hint="eastAsia"/>
          <w:color w:val="000000" w:themeColor="text1"/>
          <w:sz w:val="24"/>
          <w:szCs w:val="24"/>
        </w:rPr>
        <w:t>联系人：张老师</w:t>
      </w:r>
    </w:p>
    <w:p>
      <w:pPr>
        <w:spacing w:line="40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电话：023  72792266</w:t>
      </w:r>
    </w:p>
    <w:p>
      <w:pPr>
        <w:spacing w:line="400" w:lineRule="exact"/>
        <w:ind w:firstLine="480" w:firstLineChars="200"/>
        <w:jc w:val="left"/>
        <w:rPr>
          <w:color w:val="000000" w:themeColor="text1"/>
          <w:sz w:val="24"/>
          <w:szCs w:val="24"/>
        </w:rPr>
      </w:pPr>
      <w:r>
        <w:rPr>
          <w:rFonts w:hint="eastAsia"/>
          <w:color w:val="000000" w:themeColor="text1"/>
          <w:sz w:val="24"/>
          <w:szCs w:val="24"/>
        </w:rPr>
        <w:t>（二）采购人：长江师范学院</w:t>
      </w:r>
    </w:p>
    <w:p>
      <w:pPr>
        <w:spacing w:line="400" w:lineRule="exact"/>
        <w:ind w:firstLine="480" w:firstLineChars="200"/>
        <w:jc w:val="left"/>
        <w:rPr>
          <w:color w:val="000000" w:themeColor="text1"/>
          <w:sz w:val="24"/>
          <w:szCs w:val="24"/>
        </w:rPr>
      </w:pPr>
      <w:r>
        <w:rPr>
          <w:rFonts w:hint="eastAsia"/>
          <w:color w:val="000000" w:themeColor="text1"/>
          <w:sz w:val="24"/>
          <w:szCs w:val="24"/>
        </w:rPr>
        <w:t>技术咨询：夏老师</w:t>
      </w:r>
    </w:p>
    <w:p>
      <w:pPr>
        <w:spacing w:line="400" w:lineRule="exact"/>
        <w:ind w:firstLine="480" w:firstLineChars="200"/>
        <w:jc w:val="left"/>
        <w:rPr>
          <w:rFonts w:ascii="宋体"/>
          <w:color w:val="000000" w:themeColor="text1"/>
          <w:sz w:val="36"/>
          <w:szCs w:val="36"/>
        </w:rPr>
      </w:pPr>
      <w:r>
        <w:rPr>
          <w:rFonts w:hint="eastAsia" w:ascii="宋体" w:hAnsi="宋体"/>
          <w:color w:val="000000" w:themeColor="text1"/>
          <w:sz w:val="24"/>
          <w:szCs w:val="24"/>
        </w:rPr>
        <w:t>电话：</w:t>
      </w:r>
      <w:bookmarkStart w:id="22" w:name="_Toc186919394"/>
      <w:r>
        <w:rPr>
          <w:rFonts w:hint="eastAsia" w:ascii="宋体" w:hAnsi="宋体"/>
          <w:color w:val="000000" w:themeColor="text1"/>
          <w:sz w:val="24"/>
          <w:szCs w:val="24"/>
        </w:rPr>
        <w:t>023  72792058</w:t>
      </w:r>
    </w:p>
    <w:p>
      <w:pPr>
        <w:rPr>
          <w:rFonts w:ascii="宋体"/>
          <w:color w:val="000000" w:themeColor="text1"/>
        </w:rPr>
      </w:pPr>
    </w:p>
    <w:p>
      <w:pPr>
        <w:pStyle w:val="2"/>
        <w:spacing w:before="0" w:after="0"/>
        <w:jc w:val="center"/>
        <w:rPr>
          <w:color w:val="000000" w:themeColor="text1"/>
          <w:sz w:val="32"/>
          <w:szCs w:val="32"/>
        </w:rPr>
      </w:pPr>
      <w:bookmarkStart w:id="23" w:name="_Toc21388"/>
      <w:r>
        <w:rPr>
          <w:rFonts w:hint="eastAsia"/>
          <w:color w:val="000000" w:themeColor="text1"/>
          <w:sz w:val="32"/>
          <w:szCs w:val="32"/>
        </w:rPr>
        <w:t>第二篇</w:t>
      </w:r>
      <w:bookmarkEnd w:id="22"/>
      <w:bookmarkStart w:id="24" w:name="_Toc186919395"/>
      <w:r>
        <w:rPr>
          <w:rFonts w:hint="eastAsia"/>
          <w:color w:val="000000" w:themeColor="text1"/>
          <w:sz w:val="32"/>
          <w:szCs w:val="32"/>
        </w:rPr>
        <w:t>联合经营南苑食府和接待中心投标经济与技术要求</w:t>
      </w:r>
      <w:bookmarkEnd w:id="23"/>
    </w:p>
    <w:p>
      <w:pPr>
        <w:pStyle w:val="3"/>
        <w:spacing w:before="0" w:after="0" w:line="400" w:lineRule="exact"/>
        <w:ind w:firstLine="482" w:firstLineChars="200"/>
        <w:rPr>
          <w:color w:val="000000" w:themeColor="text1"/>
          <w:sz w:val="24"/>
          <w:szCs w:val="24"/>
        </w:rPr>
      </w:pPr>
      <w:bookmarkStart w:id="25" w:name="_Toc8612"/>
      <w:r>
        <w:rPr>
          <w:rFonts w:hint="eastAsia"/>
          <w:color w:val="000000" w:themeColor="text1"/>
          <w:sz w:val="24"/>
          <w:szCs w:val="24"/>
        </w:rPr>
        <w:t>一、招标项目</w:t>
      </w:r>
      <w:bookmarkEnd w:id="25"/>
    </w:p>
    <w:p>
      <w:pPr>
        <w:spacing w:line="400" w:lineRule="exact"/>
        <w:ind w:firstLine="480" w:firstLineChars="200"/>
        <w:jc w:val="left"/>
        <w:rPr>
          <w:color w:val="000000" w:themeColor="text1"/>
          <w:sz w:val="24"/>
          <w:szCs w:val="24"/>
        </w:rPr>
      </w:pPr>
      <w:r>
        <w:rPr>
          <w:rFonts w:hint="eastAsia"/>
          <w:color w:val="000000" w:themeColor="text1"/>
          <w:sz w:val="24"/>
          <w:szCs w:val="24"/>
        </w:rPr>
        <w:t>长江师范学院李渡校区南苑食府、接待中心联合经营项目。</w:t>
      </w:r>
    </w:p>
    <w:p>
      <w:pPr>
        <w:pStyle w:val="3"/>
        <w:spacing w:before="0" w:after="0" w:line="400" w:lineRule="exact"/>
        <w:ind w:firstLine="482" w:firstLineChars="200"/>
        <w:rPr>
          <w:color w:val="000000" w:themeColor="text1"/>
          <w:sz w:val="24"/>
          <w:szCs w:val="24"/>
        </w:rPr>
      </w:pPr>
      <w:bookmarkStart w:id="26" w:name="_Toc14612"/>
      <w:r>
        <w:rPr>
          <w:rFonts w:hint="eastAsia"/>
          <w:color w:val="000000" w:themeColor="text1"/>
          <w:sz w:val="24"/>
          <w:szCs w:val="24"/>
        </w:rPr>
        <w:t>二、联合经营面积</w:t>
      </w:r>
      <w:bookmarkEnd w:id="26"/>
    </w:p>
    <w:p>
      <w:pPr>
        <w:spacing w:line="400" w:lineRule="exact"/>
        <w:ind w:firstLine="480" w:firstLineChars="200"/>
        <w:jc w:val="left"/>
        <w:rPr>
          <w:color w:val="000000" w:themeColor="text1"/>
          <w:sz w:val="24"/>
          <w:szCs w:val="24"/>
        </w:rPr>
      </w:pPr>
      <w:r>
        <w:rPr>
          <w:rFonts w:hint="eastAsia"/>
          <w:color w:val="000000" w:themeColor="text1"/>
          <w:sz w:val="24"/>
          <w:szCs w:val="24"/>
        </w:rPr>
        <w:t>1.南苑食府一楼建筑面积2932平方米，使用面积2569平方米；二楼建筑面积2932平方米，使用面积2475平方米；</w:t>
      </w:r>
    </w:p>
    <w:p>
      <w:pPr>
        <w:spacing w:line="400" w:lineRule="exact"/>
        <w:ind w:firstLine="480" w:firstLineChars="200"/>
        <w:jc w:val="left"/>
        <w:rPr>
          <w:color w:val="000000" w:themeColor="text1"/>
          <w:sz w:val="24"/>
          <w:szCs w:val="24"/>
        </w:rPr>
      </w:pPr>
      <w:r>
        <w:rPr>
          <w:rFonts w:hint="eastAsia"/>
          <w:color w:val="000000" w:themeColor="text1"/>
          <w:sz w:val="24"/>
          <w:szCs w:val="24"/>
        </w:rPr>
        <w:t>2.接待中心二楼建筑面积1250平方米，使用面积1188平方米；三楼建筑面积437平方米，使用面积410平方米。</w:t>
      </w:r>
    </w:p>
    <w:p>
      <w:pPr>
        <w:pStyle w:val="3"/>
        <w:spacing w:before="0" w:after="0" w:line="400" w:lineRule="exact"/>
        <w:ind w:firstLine="482" w:firstLineChars="200"/>
        <w:rPr>
          <w:color w:val="000000" w:themeColor="text1"/>
          <w:sz w:val="24"/>
          <w:szCs w:val="24"/>
        </w:rPr>
      </w:pPr>
      <w:bookmarkStart w:id="27" w:name="_Toc18567"/>
      <w:r>
        <w:rPr>
          <w:rFonts w:hint="eastAsia"/>
          <w:color w:val="000000" w:themeColor="text1"/>
          <w:sz w:val="24"/>
          <w:szCs w:val="24"/>
        </w:rPr>
        <w:t>三、联合经营时间</w:t>
      </w:r>
      <w:bookmarkEnd w:id="27"/>
    </w:p>
    <w:p>
      <w:pPr>
        <w:spacing w:line="400" w:lineRule="exact"/>
        <w:ind w:firstLine="480" w:firstLineChars="200"/>
        <w:jc w:val="left"/>
        <w:rPr>
          <w:color w:val="000000" w:themeColor="text1"/>
          <w:sz w:val="24"/>
          <w:szCs w:val="24"/>
        </w:rPr>
      </w:pPr>
      <w:r>
        <w:rPr>
          <w:rFonts w:hint="eastAsia"/>
          <w:color w:val="000000" w:themeColor="text1"/>
          <w:sz w:val="24"/>
          <w:szCs w:val="24"/>
        </w:rPr>
        <w:t>1.联合经营时间为8年。</w:t>
      </w:r>
    </w:p>
    <w:p>
      <w:pPr>
        <w:spacing w:line="400" w:lineRule="exact"/>
        <w:ind w:firstLine="480" w:firstLineChars="200"/>
        <w:jc w:val="left"/>
        <w:rPr>
          <w:color w:val="000000" w:themeColor="text1"/>
          <w:sz w:val="24"/>
          <w:szCs w:val="24"/>
        </w:rPr>
      </w:pPr>
      <w:r>
        <w:rPr>
          <w:rFonts w:hint="eastAsia"/>
          <w:color w:val="000000" w:themeColor="text1"/>
          <w:sz w:val="24"/>
          <w:szCs w:val="24"/>
        </w:rPr>
        <w:t>2.合同期满，由学校组织相关人员（学生代表、教师代表、后勤管理处有关管理人员代表等1000人以上）对乙方的经营状况进行满意度调查，满意度达到80%及以上，甲方可与乙方续签2年合同。</w:t>
      </w:r>
    </w:p>
    <w:p>
      <w:pPr>
        <w:pStyle w:val="3"/>
        <w:spacing w:before="0" w:after="0" w:line="400" w:lineRule="exact"/>
        <w:ind w:firstLine="482" w:firstLineChars="200"/>
        <w:rPr>
          <w:color w:val="000000" w:themeColor="text1"/>
          <w:sz w:val="24"/>
          <w:szCs w:val="24"/>
        </w:rPr>
      </w:pPr>
      <w:bookmarkStart w:id="28" w:name="_Toc18455"/>
      <w:r>
        <w:rPr>
          <w:rFonts w:hint="eastAsia"/>
          <w:color w:val="000000" w:themeColor="text1"/>
          <w:sz w:val="24"/>
          <w:szCs w:val="24"/>
        </w:rPr>
        <w:t>四、联合经营地点及要求</w:t>
      </w:r>
      <w:bookmarkEnd w:id="28"/>
    </w:p>
    <w:p>
      <w:pPr>
        <w:spacing w:line="400" w:lineRule="exact"/>
        <w:ind w:firstLine="480" w:firstLineChars="200"/>
        <w:jc w:val="left"/>
        <w:rPr>
          <w:color w:val="000000" w:themeColor="text1"/>
          <w:sz w:val="24"/>
          <w:szCs w:val="24"/>
        </w:rPr>
      </w:pPr>
      <w:r>
        <w:rPr>
          <w:rFonts w:hint="eastAsia"/>
          <w:color w:val="000000" w:themeColor="text1"/>
          <w:sz w:val="24"/>
          <w:szCs w:val="24"/>
        </w:rPr>
        <w:t>1.长江师范学院李渡校区南苑食府、接待中心。</w:t>
      </w:r>
    </w:p>
    <w:p>
      <w:pPr>
        <w:spacing w:line="400" w:lineRule="exact"/>
        <w:ind w:firstLine="480" w:firstLineChars="200"/>
        <w:jc w:val="left"/>
        <w:rPr>
          <w:color w:val="000000" w:themeColor="text1"/>
          <w:sz w:val="24"/>
          <w:szCs w:val="24"/>
        </w:rPr>
      </w:pPr>
      <w:r>
        <w:rPr>
          <w:rFonts w:hint="eastAsia"/>
          <w:color w:val="000000" w:themeColor="text1"/>
          <w:sz w:val="24"/>
          <w:szCs w:val="24"/>
        </w:rPr>
        <w:t>2.中标人应合理使用学校提供房屋、场地及其附属设施，负责日常管理与维护，如因使用不当造成房屋、场地及设施损坏的，中标人应立即负责修复或给予经济赔偿。在合同期内，中标人未事先征得学校书面同意，不得擅自改变房屋、场地及其附属设施的外观、结构和用途。</w:t>
      </w:r>
    </w:p>
    <w:p>
      <w:pPr>
        <w:pStyle w:val="3"/>
        <w:spacing w:before="0" w:after="0" w:line="400" w:lineRule="exact"/>
        <w:ind w:firstLine="482" w:firstLineChars="200"/>
        <w:rPr>
          <w:color w:val="000000" w:themeColor="text1"/>
          <w:sz w:val="24"/>
          <w:szCs w:val="24"/>
        </w:rPr>
      </w:pPr>
      <w:bookmarkStart w:id="29" w:name="_Toc29210"/>
      <w:r>
        <w:rPr>
          <w:rFonts w:hint="eastAsia"/>
          <w:color w:val="000000" w:themeColor="text1"/>
          <w:sz w:val="24"/>
          <w:szCs w:val="24"/>
        </w:rPr>
        <w:t>五、联合经营方式</w:t>
      </w:r>
      <w:bookmarkEnd w:id="29"/>
    </w:p>
    <w:p>
      <w:pPr>
        <w:spacing w:line="400" w:lineRule="exact"/>
        <w:ind w:firstLine="480" w:firstLineChars="200"/>
        <w:jc w:val="left"/>
        <w:rPr>
          <w:color w:val="000000" w:themeColor="text1"/>
          <w:sz w:val="24"/>
          <w:szCs w:val="24"/>
        </w:rPr>
      </w:pPr>
      <w:r>
        <w:rPr>
          <w:rFonts w:hint="eastAsia"/>
          <w:color w:val="000000" w:themeColor="text1"/>
          <w:sz w:val="24"/>
          <w:szCs w:val="24"/>
        </w:rPr>
        <w:t>1.联合经营是指投标人在校方指定的校内场地投资经营餐饮并接受校方监管和向校方缴纳管理费的经营方式。</w:t>
      </w:r>
    </w:p>
    <w:p>
      <w:pPr>
        <w:spacing w:line="400" w:lineRule="exact"/>
        <w:ind w:firstLine="480" w:firstLineChars="200"/>
        <w:jc w:val="left"/>
        <w:rPr>
          <w:color w:val="000000" w:themeColor="text1"/>
          <w:sz w:val="24"/>
          <w:szCs w:val="24"/>
        </w:rPr>
      </w:pPr>
      <w:r>
        <w:rPr>
          <w:rFonts w:hint="eastAsia"/>
          <w:color w:val="000000" w:themeColor="text1"/>
          <w:sz w:val="24"/>
          <w:szCs w:val="24"/>
        </w:rPr>
        <w:t>2.中标人未经学校批准不得转租或分租给他人（战略合作伙伴除外）。</w:t>
      </w:r>
    </w:p>
    <w:p>
      <w:pPr>
        <w:spacing w:line="400" w:lineRule="exact"/>
        <w:ind w:firstLine="480" w:firstLineChars="200"/>
        <w:jc w:val="left"/>
        <w:rPr>
          <w:color w:val="000000" w:themeColor="text1"/>
          <w:sz w:val="24"/>
          <w:szCs w:val="24"/>
        </w:rPr>
      </w:pPr>
      <w:r>
        <w:rPr>
          <w:rFonts w:hint="eastAsia"/>
          <w:color w:val="000000" w:themeColor="text1"/>
          <w:sz w:val="24"/>
          <w:szCs w:val="24"/>
        </w:rPr>
        <w:t>3.中标人应通过精细管理、提升服务品质等手段提高营业额、降低成本自行获取投资收益。</w:t>
      </w:r>
    </w:p>
    <w:p>
      <w:pPr>
        <w:spacing w:line="400" w:lineRule="exact"/>
        <w:ind w:firstLine="480" w:firstLineChars="200"/>
        <w:jc w:val="left"/>
        <w:rPr>
          <w:color w:val="000000" w:themeColor="text1"/>
          <w:sz w:val="24"/>
          <w:szCs w:val="24"/>
        </w:rPr>
      </w:pPr>
      <w:r>
        <w:rPr>
          <w:rFonts w:hint="eastAsia"/>
          <w:color w:val="000000" w:themeColor="text1"/>
          <w:sz w:val="24"/>
          <w:szCs w:val="24"/>
        </w:rPr>
        <w:t>4.中标人</w:t>
      </w:r>
      <w:r>
        <w:rPr>
          <w:rFonts w:hint="eastAsia"/>
          <w:sz w:val="24"/>
          <w:szCs w:val="24"/>
        </w:rPr>
        <w:t>在经营中无论盈亏不得减少约定的管理费，</w:t>
      </w:r>
      <w:r>
        <w:rPr>
          <w:rFonts w:hint="eastAsia"/>
          <w:color w:val="000000" w:themeColor="text1"/>
          <w:sz w:val="24"/>
          <w:szCs w:val="24"/>
        </w:rPr>
        <w:t>并不得降低合同约定的服务品质。</w:t>
      </w:r>
    </w:p>
    <w:p>
      <w:pPr>
        <w:pStyle w:val="3"/>
        <w:spacing w:before="0" w:after="0" w:line="400" w:lineRule="exact"/>
        <w:ind w:firstLine="482" w:firstLineChars="200"/>
        <w:rPr>
          <w:color w:val="000000" w:themeColor="text1"/>
          <w:sz w:val="24"/>
          <w:szCs w:val="24"/>
        </w:rPr>
      </w:pPr>
      <w:bookmarkStart w:id="30" w:name="_Toc8874"/>
      <w:r>
        <w:rPr>
          <w:rFonts w:hint="eastAsia"/>
          <w:color w:val="000000" w:themeColor="text1"/>
          <w:sz w:val="24"/>
          <w:szCs w:val="24"/>
        </w:rPr>
        <w:t>六、联合经营的经济要求</w:t>
      </w:r>
      <w:bookmarkEnd w:id="30"/>
    </w:p>
    <w:p>
      <w:pPr>
        <w:spacing w:line="400" w:lineRule="exact"/>
        <w:ind w:firstLine="480" w:firstLineChars="200"/>
        <w:jc w:val="left"/>
        <w:rPr>
          <w:sz w:val="24"/>
          <w:szCs w:val="24"/>
        </w:rPr>
      </w:pPr>
      <w:r>
        <w:rPr>
          <w:rFonts w:hint="eastAsia"/>
          <w:color w:val="000000" w:themeColor="text1"/>
          <w:sz w:val="24"/>
          <w:szCs w:val="24"/>
        </w:rPr>
        <w:t>*1.中标人每月应向学校缴纳投标时承诺的</w:t>
      </w:r>
      <w:r>
        <w:rPr>
          <w:rFonts w:hint="eastAsia"/>
          <w:sz w:val="24"/>
          <w:szCs w:val="24"/>
        </w:rPr>
        <w:t>不低于每月营业额3%的管理费；如果年累计缴纳的月管理费低于投标时承诺的年保低管理费时，中标人须另行补足。</w:t>
      </w:r>
    </w:p>
    <w:p>
      <w:pPr>
        <w:spacing w:line="400" w:lineRule="exact"/>
        <w:ind w:firstLine="480" w:firstLineChars="200"/>
        <w:jc w:val="left"/>
        <w:rPr>
          <w:sz w:val="24"/>
          <w:szCs w:val="24"/>
        </w:rPr>
      </w:pPr>
      <w:r>
        <w:rPr>
          <w:rFonts w:hint="eastAsia"/>
          <w:sz w:val="24"/>
          <w:szCs w:val="24"/>
        </w:rPr>
        <w:t>*2.中标人应向学校承诺首期投资总额不低于600万元人民币（以装修方案中投资预算为依据），并在签订合同前一次性将投标时承诺的首期投资总额的30%</w:t>
      </w:r>
      <w:r>
        <w:rPr>
          <w:rFonts w:hint="eastAsia"/>
          <w:color w:val="000000" w:themeColor="text1"/>
          <w:sz w:val="24"/>
          <w:szCs w:val="24"/>
        </w:rPr>
        <w:t>打入学校账户，学校根据装修进度分两次返还给中标人（当装修进度进行到一半</w:t>
      </w:r>
      <w:r>
        <w:rPr>
          <w:rFonts w:hint="eastAsia"/>
          <w:sz w:val="24"/>
          <w:szCs w:val="24"/>
        </w:rPr>
        <w:t>时返还50%，正式开业后15日返还剩余的50%）；</w:t>
      </w:r>
    </w:p>
    <w:p>
      <w:pPr>
        <w:spacing w:line="400" w:lineRule="exact"/>
        <w:ind w:firstLine="480" w:firstLineChars="200"/>
        <w:jc w:val="left"/>
        <w:rPr>
          <w:sz w:val="24"/>
          <w:szCs w:val="24"/>
        </w:rPr>
      </w:pPr>
      <w:r>
        <w:rPr>
          <w:rFonts w:hint="eastAsia"/>
          <w:sz w:val="24"/>
          <w:szCs w:val="24"/>
        </w:rPr>
        <w:t>*3. 中标人需在签订合同前向学校缴纳装修保证金100万元人民币，正式开业时返还50%的装修保证金，验收审计合格（达到合同约定的装修要求及经费投入）后15日返还剩余的50%装修保证金。</w:t>
      </w:r>
    </w:p>
    <w:p>
      <w:pPr>
        <w:spacing w:line="400" w:lineRule="exact"/>
        <w:ind w:firstLine="480" w:firstLineChars="200"/>
        <w:jc w:val="left"/>
        <w:rPr>
          <w:sz w:val="24"/>
          <w:szCs w:val="24"/>
        </w:rPr>
      </w:pPr>
      <w:r>
        <w:rPr>
          <w:rFonts w:hint="eastAsia"/>
          <w:sz w:val="24"/>
          <w:szCs w:val="24"/>
        </w:rPr>
        <w:t>*4.本项目履约保证金为80万元人民币，中标人在签订合同时，应将该款项缴入长江师范学院账户后，持我校财务部门票据签订合同。</w:t>
      </w:r>
    </w:p>
    <w:p>
      <w:pPr>
        <w:pStyle w:val="3"/>
        <w:spacing w:before="0" w:after="0" w:line="400" w:lineRule="exact"/>
        <w:ind w:firstLine="482" w:firstLineChars="200"/>
        <w:rPr>
          <w:rFonts w:hint="eastAsia"/>
          <w:color w:val="000000" w:themeColor="text1"/>
          <w:sz w:val="24"/>
          <w:szCs w:val="24"/>
        </w:rPr>
      </w:pPr>
      <w:bookmarkStart w:id="31" w:name="_Toc19232"/>
      <w:r>
        <w:rPr>
          <w:rFonts w:hint="eastAsia"/>
          <w:color w:val="000000" w:themeColor="text1"/>
          <w:sz w:val="24"/>
          <w:szCs w:val="24"/>
        </w:rPr>
        <w:t>七、联合经营的技术要求</w:t>
      </w:r>
      <w:bookmarkEnd w:id="31"/>
    </w:p>
    <w:p>
      <w:pPr>
        <w:spacing w:line="400" w:lineRule="exact"/>
        <w:ind w:firstLine="480" w:firstLineChars="200"/>
        <w:jc w:val="left"/>
        <w:rPr>
          <w:color w:val="000000" w:themeColor="text1"/>
          <w:sz w:val="24"/>
          <w:szCs w:val="24"/>
        </w:rPr>
      </w:pPr>
      <w:r>
        <w:rPr>
          <w:rFonts w:hint="eastAsia"/>
          <w:color w:val="000000" w:themeColor="text1"/>
          <w:sz w:val="24"/>
          <w:szCs w:val="24"/>
        </w:rPr>
        <w:t>（一）本项目管理机构设置及人员配备</w:t>
      </w:r>
    </w:p>
    <w:p>
      <w:pPr>
        <w:spacing w:line="400" w:lineRule="exact"/>
        <w:ind w:firstLine="480" w:firstLineChars="200"/>
        <w:jc w:val="left"/>
        <w:rPr>
          <w:color w:val="000000" w:themeColor="text1"/>
          <w:sz w:val="24"/>
          <w:szCs w:val="24"/>
        </w:rPr>
      </w:pPr>
      <w:r>
        <w:rPr>
          <w:rFonts w:hint="eastAsia"/>
          <w:color w:val="000000" w:themeColor="text1"/>
          <w:sz w:val="24"/>
          <w:szCs w:val="24"/>
        </w:rPr>
        <w:t>为本项目配置科学合理的管理服务团队，要求管理服务团队素质高、经验丰富、人员充足，管理服务制度健全，拟任项目负责人应具有高中以上学历和高校类似项目三年以上的餐饮管理与服务经验，配备的食品安全管理员持有食品药品监督部门分发的资质证书，还应配备一定数量持有一级和二级厨师证的厨师。（需提供管理服务团队配置计划、人员架构、学历层次、年龄性别、资质证书等明细表）。</w:t>
      </w:r>
    </w:p>
    <w:p>
      <w:pPr>
        <w:spacing w:line="400" w:lineRule="exact"/>
        <w:ind w:firstLine="480" w:firstLineChars="200"/>
        <w:jc w:val="left"/>
        <w:rPr>
          <w:color w:val="000000" w:themeColor="text1"/>
          <w:sz w:val="24"/>
          <w:szCs w:val="24"/>
        </w:rPr>
      </w:pPr>
      <w:r>
        <w:rPr>
          <w:rFonts w:hint="eastAsia"/>
          <w:color w:val="000000" w:themeColor="text1"/>
          <w:sz w:val="24"/>
          <w:szCs w:val="24"/>
        </w:rPr>
        <w:t>（二）本项目的员工聘用及福利保障机制</w:t>
      </w:r>
    </w:p>
    <w:p>
      <w:pPr>
        <w:spacing w:line="400" w:lineRule="exact"/>
        <w:ind w:firstLine="480" w:firstLineChars="200"/>
        <w:jc w:val="left"/>
        <w:rPr>
          <w:color w:val="000000" w:themeColor="text1"/>
          <w:sz w:val="24"/>
          <w:szCs w:val="24"/>
        </w:rPr>
      </w:pPr>
      <w:r>
        <w:rPr>
          <w:rFonts w:hint="eastAsia"/>
          <w:color w:val="000000" w:themeColor="text1"/>
          <w:sz w:val="24"/>
          <w:szCs w:val="24"/>
        </w:rPr>
        <w:t>制定有本项目的员工招募、培训、聘用、管理与教育方案。所聘员工要经过食品安全知识、餐饮服务食品安全操作规范、餐饮服务礼仪及职业道德培训，具有良好的职业道德，健康体检合格后持“证”上岗（持有有效健康证、身份证）。方案应对员工的薪酬待遇、保险缴纳、健康体检、学习培训、奖惩考核等涉及职工切身利益方面的保障机制进行明确说明。</w:t>
      </w:r>
    </w:p>
    <w:p>
      <w:pPr>
        <w:spacing w:line="400" w:lineRule="exact"/>
        <w:ind w:firstLine="480" w:firstLineChars="200"/>
        <w:jc w:val="left"/>
        <w:rPr>
          <w:color w:val="000000" w:themeColor="text1"/>
          <w:sz w:val="24"/>
          <w:szCs w:val="24"/>
        </w:rPr>
      </w:pPr>
      <w:r>
        <w:rPr>
          <w:rFonts w:hint="eastAsia"/>
          <w:color w:val="000000" w:themeColor="text1"/>
          <w:sz w:val="24"/>
          <w:szCs w:val="24"/>
        </w:rPr>
        <w:t>（三）本项目的质量保障措施及安全方案</w:t>
      </w:r>
    </w:p>
    <w:p>
      <w:pPr>
        <w:spacing w:line="400" w:lineRule="exact"/>
        <w:ind w:firstLine="480" w:firstLineChars="200"/>
        <w:jc w:val="left"/>
        <w:rPr>
          <w:color w:val="000000" w:themeColor="text1"/>
          <w:sz w:val="24"/>
          <w:szCs w:val="24"/>
        </w:rPr>
      </w:pPr>
      <w:r>
        <w:rPr>
          <w:rFonts w:hint="eastAsia"/>
          <w:color w:val="000000" w:themeColor="text1"/>
          <w:sz w:val="24"/>
          <w:szCs w:val="24"/>
        </w:rPr>
        <w:t>1.制定有本项目切实可行工作交接与进场方案。要求交接工作无缝衔接，装修改造不影响师生的工作、学习和生活，进场与开业时间须符合学校的进度安排。</w:t>
      </w:r>
    </w:p>
    <w:p>
      <w:pPr>
        <w:spacing w:line="400" w:lineRule="exact"/>
        <w:ind w:firstLine="480" w:firstLineChars="200"/>
        <w:jc w:val="left"/>
        <w:rPr>
          <w:color w:val="000000" w:themeColor="text1"/>
          <w:sz w:val="24"/>
          <w:szCs w:val="24"/>
        </w:rPr>
      </w:pPr>
      <w:r>
        <w:rPr>
          <w:rFonts w:hint="eastAsia"/>
          <w:color w:val="000000" w:themeColor="text1"/>
          <w:sz w:val="24"/>
          <w:szCs w:val="24"/>
        </w:rPr>
        <w:t>2.制定有本项目科学合理的餐饮服务经营方案、质量保障措施与价格明价细则（餐饮合理定价机制、价格稳定机制、价格监管机制）。餐饮服务价格应符合周边市场行情，严禁哄抬物价。</w:t>
      </w:r>
    </w:p>
    <w:p>
      <w:pPr>
        <w:spacing w:line="400" w:lineRule="exact"/>
        <w:ind w:firstLine="480" w:firstLineChars="200"/>
        <w:jc w:val="left"/>
        <w:rPr>
          <w:color w:val="000000" w:themeColor="text1"/>
          <w:sz w:val="24"/>
          <w:szCs w:val="24"/>
        </w:rPr>
      </w:pPr>
      <w:r>
        <w:rPr>
          <w:rFonts w:hint="eastAsia"/>
          <w:color w:val="000000" w:themeColor="text1"/>
          <w:sz w:val="24"/>
          <w:szCs w:val="24"/>
        </w:rPr>
        <w:t>3.制定有食品安全、卫生、防疫、消防、治安等方面的安全方案。要求食品加工工艺流程合理，溯源索票索证、留样试尝制度完善，餐具清洗消毒保存规范。中标人须严格遵守国家有关食品安全、卫生、防疫、消防、治安等方面的法律法规及学校有关方面的管理规定，服从学校各级主管部门的监管。其法定代表人对食堂的食品安全、卫生、防疫、消防和治安等安全负完全责任。</w:t>
      </w:r>
    </w:p>
    <w:p>
      <w:pPr>
        <w:spacing w:line="400" w:lineRule="exact"/>
        <w:ind w:firstLine="480" w:firstLineChars="200"/>
        <w:jc w:val="left"/>
        <w:rPr>
          <w:color w:val="000000" w:themeColor="text1"/>
          <w:sz w:val="24"/>
          <w:szCs w:val="24"/>
        </w:rPr>
      </w:pPr>
      <w:r>
        <w:rPr>
          <w:rFonts w:hint="eastAsia"/>
          <w:color w:val="000000" w:themeColor="text1"/>
          <w:sz w:val="24"/>
          <w:szCs w:val="24"/>
        </w:rPr>
        <w:t>4.有员工群体性事件、意外事故的处置方案，师生投诉建议、网络舆情的应对措施以及突发事件应急预案。杜绝学生集体性食物中毒、火灾、拥挤踩踏等群体性安全事故和网络舆情事件发生。</w:t>
      </w:r>
    </w:p>
    <w:p>
      <w:pPr>
        <w:spacing w:line="400" w:lineRule="exact"/>
        <w:ind w:firstLine="480" w:firstLineChars="200"/>
        <w:jc w:val="left"/>
        <w:rPr>
          <w:color w:val="000000" w:themeColor="text1"/>
          <w:sz w:val="24"/>
          <w:szCs w:val="24"/>
        </w:rPr>
      </w:pPr>
      <w:r>
        <w:rPr>
          <w:rFonts w:hint="eastAsia"/>
          <w:color w:val="000000" w:themeColor="text1"/>
          <w:sz w:val="24"/>
          <w:szCs w:val="24"/>
        </w:rPr>
        <w:t>（四）本项目的设备投入要求</w:t>
      </w:r>
    </w:p>
    <w:p>
      <w:pPr>
        <w:spacing w:line="400" w:lineRule="exact"/>
        <w:ind w:firstLine="480" w:firstLineChars="200"/>
        <w:jc w:val="left"/>
        <w:rPr>
          <w:color w:val="000000" w:themeColor="text1"/>
          <w:sz w:val="24"/>
          <w:szCs w:val="24"/>
        </w:rPr>
      </w:pPr>
      <w:r>
        <w:rPr>
          <w:rFonts w:hint="eastAsia"/>
          <w:color w:val="000000" w:themeColor="text1"/>
          <w:sz w:val="24"/>
          <w:szCs w:val="24"/>
        </w:rPr>
        <w:t>1.提供拟投入本项目的餐厨设备设施清单、经费预算及设备维护措施。要求装备齐全、设施先进、易于操作。中标人使用学校食堂原有的设备设施，合同期满，必须完好地交还学校。中标人投资的设施设备在合同期满后无偿归学校所有，中标人不得擅自拆除。</w:t>
      </w:r>
    </w:p>
    <w:p>
      <w:pPr>
        <w:spacing w:line="400" w:lineRule="exact"/>
        <w:ind w:firstLine="480" w:firstLineChars="200"/>
        <w:jc w:val="left"/>
        <w:rPr>
          <w:color w:val="000000" w:themeColor="text1"/>
          <w:sz w:val="24"/>
          <w:szCs w:val="24"/>
        </w:rPr>
      </w:pPr>
      <w:r>
        <w:rPr>
          <w:rFonts w:hint="eastAsia"/>
          <w:color w:val="000000" w:themeColor="text1"/>
          <w:sz w:val="24"/>
          <w:szCs w:val="24"/>
        </w:rPr>
        <w:t>2.提供为本项目修建冻库，配置全自动清洗消毒一体洗碗机、配置蔬菜农药快速检测设备等现代化餐厨设备方案（附设备清单）。</w:t>
      </w:r>
    </w:p>
    <w:p>
      <w:pPr>
        <w:spacing w:line="400" w:lineRule="exact"/>
        <w:ind w:firstLine="480" w:firstLineChars="200"/>
        <w:jc w:val="left"/>
        <w:rPr>
          <w:color w:val="000000" w:themeColor="text1"/>
          <w:sz w:val="24"/>
          <w:szCs w:val="24"/>
        </w:rPr>
      </w:pPr>
      <w:r>
        <w:rPr>
          <w:rFonts w:hint="eastAsia"/>
          <w:color w:val="000000" w:themeColor="text1"/>
          <w:sz w:val="24"/>
          <w:szCs w:val="24"/>
        </w:rPr>
        <w:t>3.提供为本项目安装消防自动喷淋系统、烟感自动灭火系统、天燃气报警系统以及安装有汞齐灯油烟净化装置的抽排系统等现代化消防、安全、环保系统方案（附设备清单）。</w:t>
      </w:r>
    </w:p>
    <w:p>
      <w:pPr>
        <w:spacing w:line="400" w:lineRule="exact"/>
        <w:ind w:firstLine="480" w:firstLineChars="200"/>
        <w:jc w:val="left"/>
        <w:rPr>
          <w:color w:val="000000" w:themeColor="text1"/>
          <w:sz w:val="24"/>
          <w:szCs w:val="24"/>
        </w:rPr>
      </w:pPr>
      <w:r>
        <w:rPr>
          <w:rFonts w:hint="eastAsia"/>
          <w:color w:val="000000" w:themeColor="text1"/>
          <w:sz w:val="24"/>
          <w:szCs w:val="24"/>
        </w:rPr>
        <w:t>4.提供为本项目在食堂加工区、售卖区、就餐区等区域安装具备90天以上存储能力的高清视频监控系统设计方案（并附安装点位设计图）。要求视频监控系统的设计安装符合“视频厨房”、食品安全以及高校重点部位视频监控相关要求与规范，做到食堂高清视频监控无死角、无盲区、全覆盖，并接入学校视频监控管理平台统一管理。</w:t>
      </w:r>
    </w:p>
    <w:p>
      <w:pPr>
        <w:spacing w:line="400" w:lineRule="exact"/>
        <w:ind w:firstLine="480" w:firstLineChars="200"/>
        <w:jc w:val="left"/>
        <w:rPr>
          <w:color w:val="000000" w:themeColor="text1"/>
          <w:sz w:val="24"/>
          <w:szCs w:val="24"/>
        </w:rPr>
      </w:pPr>
      <w:r>
        <w:rPr>
          <w:rFonts w:hint="eastAsia"/>
          <w:color w:val="000000" w:themeColor="text1"/>
          <w:sz w:val="24"/>
          <w:szCs w:val="24"/>
        </w:rPr>
        <w:t>（五）食堂装修改造方案</w:t>
      </w:r>
    </w:p>
    <w:p>
      <w:pPr>
        <w:spacing w:line="400" w:lineRule="exact"/>
        <w:ind w:firstLine="480" w:firstLineChars="200"/>
        <w:jc w:val="left"/>
        <w:rPr>
          <w:color w:val="000000" w:themeColor="text1"/>
          <w:sz w:val="24"/>
          <w:szCs w:val="24"/>
        </w:rPr>
      </w:pPr>
      <w:r>
        <w:rPr>
          <w:rFonts w:hint="eastAsia"/>
          <w:color w:val="000000" w:themeColor="text1"/>
          <w:sz w:val="24"/>
          <w:szCs w:val="24"/>
        </w:rPr>
        <w:t>1.提供本项目的总体修改造效果图、设计方案、经费预算。装修风格要体现学校内涵，符合校园文化，贴近学生视角，符合高校“标准化食堂”、“明厨亮灶”工程要求。中标人对食堂重命名、悬挂招牌、广告等必须符合城管、规划、文化等部门的有关规定，设计制作方案书面报学校审定后实施。</w:t>
      </w:r>
    </w:p>
    <w:p>
      <w:pPr>
        <w:spacing w:line="400" w:lineRule="exact"/>
        <w:ind w:firstLine="480" w:firstLineChars="200"/>
        <w:jc w:val="left"/>
        <w:rPr>
          <w:color w:val="000000" w:themeColor="text1"/>
          <w:sz w:val="24"/>
          <w:szCs w:val="24"/>
        </w:rPr>
      </w:pPr>
      <w:r>
        <w:rPr>
          <w:rFonts w:hint="eastAsia"/>
          <w:color w:val="000000" w:themeColor="text1"/>
          <w:sz w:val="24"/>
          <w:szCs w:val="24"/>
        </w:rPr>
        <w:t>2.提供本项目南苑食府餐饮档口的装修改造效果图及改造方案。改造方案须体现新一代大学食堂的设计理念，除主营大众餐、特色餐、风味餐、清真餐、水吧、零食外，还应满足学生自习、演讲、沙龙、社交、活动、聚会、娱乐、休闲等第三空间方面的需求。</w:t>
      </w:r>
    </w:p>
    <w:p>
      <w:pPr>
        <w:spacing w:line="400" w:lineRule="exact"/>
        <w:ind w:firstLine="480" w:firstLineChars="200"/>
        <w:jc w:val="left"/>
        <w:rPr>
          <w:color w:val="000000" w:themeColor="text1"/>
          <w:sz w:val="24"/>
          <w:szCs w:val="24"/>
        </w:rPr>
      </w:pPr>
      <w:r>
        <w:rPr>
          <w:rFonts w:hint="eastAsia"/>
          <w:color w:val="000000" w:themeColor="text1"/>
          <w:sz w:val="24"/>
          <w:szCs w:val="24"/>
        </w:rPr>
        <w:t>3.提供本项目接待中心餐饮档口的装修改造效果图及改造方案。改造方案除保障教职工工作餐和公务接待餐（不少于三个包间，包含自助餐、中餐、西餐、咖啡等）外，还要满足团餐、特色餐、风味餐、餐叙交流、卡座等师生较高端的消费场所需求。</w:t>
      </w:r>
    </w:p>
    <w:p>
      <w:pPr>
        <w:spacing w:line="400" w:lineRule="exact"/>
        <w:ind w:firstLine="480" w:firstLineChars="200"/>
        <w:jc w:val="left"/>
        <w:rPr>
          <w:color w:val="000000" w:themeColor="text1"/>
          <w:sz w:val="24"/>
          <w:szCs w:val="24"/>
        </w:rPr>
      </w:pPr>
      <w:r>
        <w:rPr>
          <w:rFonts w:hint="eastAsia"/>
          <w:color w:val="000000" w:themeColor="text1"/>
          <w:sz w:val="24"/>
          <w:szCs w:val="24"/>
        </w:rPr>
        <w:t>4.提供本项目的刷卡收费结算方式、餐饮+互联网、无线网络覆盖、一卡通充值窗口设置等方案。中标人须按照财经管理相关规定到学校相关部门办理申请审批手续（一卡通终端设备购置及安装费用由中标者承担）。目前学校暂不支持微信、支付宝、二维码等现代收费结算方式（筹建中）。</w:t>
      </w:r>
    </w:p>
    <w:p>
      <w:pPr>
        <w:spacing w:line="400" w:lineRule="exact"/>
        <w:ind w:firstLine="480" w:firstLineChars="200"/>
        <w:jc w:val="left"/>
        <w:rPr>
          <w:sz w:val="24"/>
          <w:szCs w:val="24"/>
        </w:rPr>
      </w:pPr>
      <w:r>
        <w:rPr>
          <w:rFonts w:hint="eastAsia"/>
          <w:color w:val="000000" w:themeColor="text1"/>
          <w:sz w:val="24"/>
          <w:szCs w:val="24"/>
        </w:rPr>
        <w:t>5.提供本项目贴近学生学习、生活的灯光开启和空调开放方案。要求满足学生自习、演讲、沙龙、聚会等活动的灯光开启应与学校作息时间同步，</w:t>
      </w:r>
      <w:r>
        <w:rPr>
          <w:rFonts w:hint="eastAsia"/>
          <w:sz w:val="24"/>
          <w:szCs w:val="24"/>
        </w:rPr>
        <w:t>夏天室外温度高于31度，应当全天开启冷空调，冬天室外温度低于8度时，应全天开启暖空调。</w:t>
      </w:r>
    </w:p>
    <w:p>
      <w:pPr>
        <w:spacing w:line="400" w:lineRule="exact"/>
        <w:ind w:firstLine="480" w:firstLineChars="200"/>
        <w:jc w:val="left"/>
        <w:rPr>
          <w:color w:val="000000" w:themeColor="text1"/>
          <w:sz w:val="24"/>
          <w:szCs w:val="24"/>
        </w:rPr>
      </w:pPr>
      <w:r>
        <w:rPr>
          <w:rFonts w:hint="eastAsia"/>
          <w:color w:val="000000" w:themeColor="text1"/>
          <w:sz w:val="24"/>
          <w:szCs w:val="24"/>
        </w:rPr>
        <w:t>（六）食堂的经营服务方案</w:t>
      </w:r>
    </w:p>
    <w:p>
      <w:pPr>
        <w:spacing w:line="400" w:lineRule="exact"/>
        <w:ind w:firstLine="480" w:firstLineChars="200"/>
        <w:jc w:val="left"/>
        <w:rPr>
          <w:color w:val="000000" w:themeColor="text1"/>
          <w:sz w:val="24"/>
          <w:szCs w:val="24"/>
        </w:rPr>
      </w:pPr>
      <w:r>
        <w:rPr>
          <w:rFonts w:hint="eastAsia"/>
          <w:color w:val="000000" w:themeColor="text1"/>
          <w:sz w:val="24"/>
          <w:szCs w:val="24"/>
        </w:rPr>
        <w:t>1.提供本项目的大众餐经营方案。要求菜品丰富、品种齐全、价格合理，其中应包括不低于20%的平价菜档口（平价菜价格不高于重庆市教育后勤协会指导价）。</w:t>
      </w:r>
    </w:p>
    <w:p>
      <w:pPr>
        <w:spacing w:line="400" w:lineRule="exact"/>
        <w:ind w:firstLine="480" w:firstLineChars="200"/>
        <w:jc w:val="left"/>
        <w:rPr>
          <w:color w:val="000000" w:themeColor="text1"/>
          <w:sz w:val="24"/>
          <w:szCs w:val="24"/>
        </w:rPr>
      </w:pPr>
      <w:r>
        <w:rPr>
          <w:rFonts w:hint="eastAsia"/>
          <w:color w:val="000000" w:themeColor="text1"/>
          <w:sz w:val="24"/>
          <w:szCs w:val="24"/>
        </w:rPr>
        <w:t>2.提供本项目的特色风味餐经营方案。要求特色分明、风味独特、品质较高，档口设置不少于20个，如有战略合作伙伴需在方案中予以说明。</w:t>
      </w:r>
    </w:p>
    <w:p>
      <w:pPr>
        <w:spacing w:line="400" w:lineRule="exact"/>
        <w:ind w:firstLine="480" w:firstLineChars="200"/>
        <w:jc w:val="left"/>
        <w:rPr>
          <w:color w:val="000000" w:themeColor="text1"/>
          <w:sz w:val="24"/>
          <w:szCs w:val="24"/>
        </w:rPr>
      </w:pPr>
      <w:r>
        <w:rPr>
          <w:rFonts w:hint="eastAsia"/>
          <w:color w:val="000000" w:themeColor="text1"/>
          <w:sz w:val="24"/>
          <w:szCs w:val="24"/>
        </w:rPr>
        <w:t>3.提供本项目单独设立的清真餐档口一个。要求档口和就餐区独立设置（必须符合政府和管理部门的规范和要求、执行教育后勤协会的指导价)。</w:t>
      </w:r>
    </w:p>
    <w:p>
      <w:pPr>
        <w:spacing w:line="400" w:lineRule="exact"/>
        <w:ind w:firstLine="480" w:firstLineChars="200"/>
        <w:jc w:val="left"/>
        <w:rPr>
          <w:color w:val="000000" w:themeColor="text1"/>
          <w:sz w:val="24"/>
          <w:szCs w:val="24"/>
        </w:rPr>
      </w:pPr>
      <w:r>
        <w:rPr>
          <w:rFonts w:hint="eastAsia"/>
          <w:color w:val="000000" w:themeColor="text1"/>
          <w:sz w:val="24"/>
          <w:szCs w:val="24"/>
        </w:rPr>
        <w:t>4.提供本项目的教职工工作餐经营方案。营养丰富、菜品多样、搭配合理，价格不高于重庆市教育后勤协会指导价。</w:t>
      </w:r>
    </w:p>
    <w:p>
      <w:pPr>
        <w:spacing w:line="400" w:lineRule="exact"/>
        <w:ind w:firstLine="480" w:firstLineChars="200"/>
        <w:jc w:val="left"/>
        <w:rPr>
          <w:color w:val="000000" w:themeColor="text1"/>
          <w:sz w:val="24"/>
          <w:szCs w:val="24"/>
        </w:rPr>
      </w:pPr>
      <w:r>
        <w:rPr>
          <w:rFonts w:hint="eastAsia"/>
          <w:color w:val="000000" w:themeColor="text1"/>
          <w:sz w:val="24"/>
          <w:szCs w:val="24"/>
        </w:rPr>
        <w:t>5.提供本项目的公务接待经营方案。要求对桌餐、团餐、自助餐、餐叙交流、卡座等有明确分区，接待标准须符合公务接待的相关要求，并接受学校相关部门的监督指导，提供正式餐饮发票。</w:t>
      </w:r>
    </w:p>
    <w:p>
      <w:pPr>
        <w:spacing w:line="400" w:lineRule="exact"/>
        <w:ind w:firstLine="480" w:firstLineChars="200"/>
        <w:jc w:val="left"/>
        <w:rPr>
          <w:color w:val="000000" w:themeColor="text1"/>
          <w:sz w:val="24"/>
          <w:szCs w:val="24"/>
        </w:rPr>
      </w:pPr>
      <w:r>
        <w:rPr>
          <w:rFonts w:hint="eastAsia"/>
          <w:color w:val="000000" w:themeColor="text1"/>
          <w:sz w:val="24"/>
          <w:szCs w:val="24"/>
        </w:rPr>
        <w:t>（七）经营要求</w:t>
      </w:r>
    </w:p>
    <w:p>
      <w:pPr>
        <w:spacing w:line="400" w:lineRule="exact"/>
        <w:ind w:firstLine="480" w:firstLineChars="200"/>
        <w:jc w:val="left"/>
        <w:rPr>
          <w:color w:val="000000" w:themeColor="text1"/>
          <w:sz w:val="24"/>
          <w:szCs w:val="24"/>
        </w:rPr>
      </w:pPr>
      <w:r>
        <w:rPr>
          <w:rFonts w:hint="eastAsia"/>
          <w:color w:val="000000" w:themeColor="text1"/>
          <w:sz w:val="24"/>
          <w:szCs w:val="24"/>
        </w:rPr>
        <w:t>1.开业时间。南苑食府和接待中心须于2018年8月31日前完成装修并做好相关开业准备，2018年9月1日工作正式营业，如未能如期开业则按违约处理。</w:t>
      </w:r>
    </w:p>
    <w:p>
      <w:pPr>
        <w:spacing w:line="400" w:lineRule="exact"/>
        <w:ind w:firstLine="480" w:firstLineChars="200"/>
        <w:jc w:val="left"/>
        <w:rPr>
          <w:color w:val="000000" w:themeColor="text1"/>
          <w:sz w:val="24"/>
          <w:szCs w:val="24"/>
        </w:rPr>
      </w:pPr>
      <w:r>
        <w:rPr>
          <w:rFonts w:hint="eastAsia"/>
          <w:color w:val="000000" w:themeColor="text1"/>
          <w:sz w:val="24"/>
          <w:szCs w:val="24"/>
        </w:rPr>
        <w:t>2.执业资质。中标人自合同签订之日起2个月内须自行办理好工商、税务、文化、卫生等从业所必须具备的相关手续，并将相关证件的复印件交后勤管理处备案。</w:t>
      </w:r>
    </w:p>
    <w:p>
      <w:pPr>
        <w:spacing w:line="400" w:lineRule="exact"/>
        <w:ind w:firstLine="480" w:firstLineChars="200"/>
        <w:jc w:val="left"/>
        <w:rPr>
          <w:color w:val="000000" w:themeColor="text1"/>
          <w:sz w:val="24"/>
          <w:szCs w:val="24"/>
        </w:rPr>
      </w:pPr>
      <w:r>
        <w:rPr>
          <w:rFonts w:hint="eastAsia"/>
          <w:color w:val="000000" w:themeColor="text1"/>
          <w:sz w:val="24"/>
          <w:szCs w:val="24"/>
        </w:rPr>
        <w:t>3.环保卫生。生产经营过程中的废气、废物排放须符合国家相关环保要求，经营场所的清洁卫生实行门前三包，垃圾清扫、清运、处置等费用由中标人自行承担。餐厨设备正常运行时间白天（6:00—22:00）必须将噪声控制在55dB以下，晚上（22:00—6:00）必须将噪声控制在45dB以下。</w:t>
      </w:r>
    </w:p>
    <w:p>
      <w:pPr>
        <w:spacing w:line="400" w:lineRule="exact"/>
        <w:ind w:firstLine="480" w:firstLineChars="200"/>
        <w:jc w:val="left"/>
        <w:rPr>
          <w:color w:val="000000" w:themeColor="text1"/>
          <w:sz w:val="24"/>
          <w:szCs w:val="24"/>
        </w:rPr>
      </w:pPr>
      <w:r>
        <w:rPr>
          <w:rFonts w:hint="eastAsia"/>
          <w:color w:val="000000" w:themeColor="text1"/>
          <w:sz w:val="24"/>
          <w:szCs w:val="24"/>
        </w:rPr>
        <w:t>4.能源保障。学校提供水、电、气等条件保障（燃气开通由承租方自行负责，我方提供必要的协助），相关费用按学校有关规定据实收取，由中标人自行承担。中标人必须遵守学校水、电、气、网络等有关管理规定。</w:t>
      </w:r>
    </w:p>
    <w:p>
      <w:pPr>
        <w:spacing w:line="400" w:lineRule="exact"/>
        <w:ind w:firstLine="480" w:firstLineChars="200"/>
        <w:jc w:val="left"/>
        <w:rPr>
          <w:color w:val="000000" w:themeColor="text1"/>
          <w:sz w:val="24"/>
          <w:szCs w:val="24"/>
        </w:rPr>
      </w:pPr>
      <w:r>
        <w:rPr>
          <w:rFonts w:hint="eastAsia"/>
          <w:color w:val="000000" w:themeColor="text1"/>
          <w:sz w:val="24"/>
          <w:szCs w:val="24"/>
        </w:rPr>
        <w:t>5.监督管理。中标人应服从学校现有的各项管理制度与规范，服从《长江师范学院南苑食府、接待中心联合经营管理与服务考核办法》并无条件接受监督检查，合同生效后，遵守在监管过程中经双方协商不断完善和新增的各项相关制度。学校后勤管理处作为联合经营的监管部门，代表学校履行合同甲方的权利和义务。</w:t>
      </w:r>
    </w:p>
    <w:p>
      <w:pPr>
        <w:spacing w:line="400" w:lineRule="exact"/>
        <w:ind w:firstLine="480" w:firstLineChars="200"/>
        <w:jc w:val="left"/>
        <w:rPr>
          <w:color w:val="000000" w:themeColor="text1"/>
          <w:sz w:val="24"/>
          <w:szCs w:val="24"/>
        </w:rPr>
      </w:pPr>
      <w:r>
        <w:rPr>
          <w:rFonts w:hint="eastAsia"/>
          <w:color w:val="000000" w:themeColor="text1"/>
          <w:sz w:val="24"/>
          <w:szCs w:val="24"/>
        </w:rPr>
        <w:t>6.假期值班。中标人必须服从学校关于寒暑假期间留校师生正常伙食供应的值班工作安排，保证寒暑假期间师生的正常供餐。</w:t>
      </w:r>
    </w:p>
    <w:p>
      <w:pPr>
        <w:spacing w:line="400" w:lineRule="exact"/>
        <w:ind w:firstLine="480" w:firstLineChars="200"/>
        <w:jc w:val="left"/>
        <w:rPr>
          <w:color w:val="000000" w:themeColor="text1"/>
          <w:sz w:val="24"/>
          <w:szCs w:val="24"/>
        </w:rPr>
      </w:pPr>
      <w:r>
        <w:rPr>
          <w:rFonts w:hint="eastAsia"/>
          <w:color w:val="000000" w:themeColor="text1"/>
          <w:sz w:val="24"/>
          <w:szCs w:val="24"/>
        </w:rPr>
        <w:t>7.学生维权。学生膳食管理委员会是学生维权的群众性组织，中标人须充分尊重和支持他们的监督活动和意见，不断改进服务质量。</w:t>
      </w:r>
    </w:p>
    <w:p>
      <w:pPr>
        <w:spacing w:line="400" w:lineRule="exact"/>
        <w:ind w:firstLine="480" w:firstLineChars="200"/>
        <w:jc w:val="left"/>
        <w:rPr>
          <w:color w:val="000000" w:themeColor="text1"/>
          <w:sz w:val="24"/>
          <w:szCs w:val="24"/>
        </w:rPr>
      </w:pPr>
      <w:r>
        <w:rPr>
          <w:rFonts w:hint="eastAsia"/>
          <w:color w:val="000000" w:themeColor="text1"/>
          <w:sz w:val="24"/>
          <w:szCs w:val="24"/>
        </w:rPr>
        <w:t>（八）装修要求</w:t>
      </w:r>
    </w:p>
    <w:p>
      <w:pPr>
        <w:spacing w:line="400" w:lineRule="exact"/>
        <w:ind w:firstLine="480" w:firstLineChars="200"/>
        <w:jc w:val="left"/>
        <w:rPr>
          <w:color w:val="000000" w:themeColor="text1"/>
          <w:sz w:val="24"/>
          <w:szCs w:val="24"/>
        </w:rPr>
      </w:pPr>
      <w:r>
        <w:rPr>
          <w:rFonts w:hint="eastAsia"/>
          <w:color w:val="000000" w:themeColor="text1"/>
          <w:sz w:val="24"/>
          <w:szCs w:val="24"/>
        </w:rPr>
        <w:t>1.装修方案。中标人对食堂场地的装修方案须经学校审核签字同意。中标后，中标人须提供详细的装修改造方案，投资预算、装修改造效果图和施工设计图，经学校审核通过后方可进行装修，若不按学校审核同意的装修改造方案，投资预算、装修改造效果图和施工设计图进行装修的，视中标人为违约，责令中标人无条件进行整改并承担由此造成的一切费用，同时学校将按中标人违约扣除相应违约金。</w:t>
      </w:r>
    </w:p>
    <w:p>
      <w:pPr>
        <w:spacing w:line="400" w:lineRule="exact"/>
        <w:ind w:firstLine="480" w:firstLineChars="200"/>
        <w:jc w:val="left"/>
        <w:rPr>
          <w:color w:val="000000" w:themeColor="text1"/>
          <w:sz w:val="24"/>
          <w:szCs w:val="24"/>
        </w:rPr>
      </w:pPr>
      <w:r>
        <w:rPr>
          <w:rFonts w:hint="eastAsia"/>
          <w:color w:val="000000" w:themeColor="text1"/>
          <w:sz w:val="24"/>
          <w:szCs w:val="24"/>
        </w:rPr>
        <w:t>2.装修监管。装修过程中，由我校委派监管人员根据装修改造方案，投资预算、装修改造效果图和施工设计图全程参与，监督装修进度、质量等。</w:t>
      </w:r>
    </w:p>
    <w:p>
      <w:pPr>
        <w:spacing w:line="400" w:lineRule="exact"/>
        <w:ind w:firstLine="480" w:firstLineChars="200"/>
        <w:jc w:val="left"/>
        <w:rPr>
          <w:color w:val="000000" w:themeColor="text1"/>
          <w:sz w:val="24"/>
          <w:szCs w:val="24"/>
        </w:rPr>
      </w:pPr>
      <w:r>
        <w:rPr>
          <w:rFonts w:hint="eastAsia"/>
          <w:color w:val="000000" w:themeColor="text1"/>
          <w:sz w:val="24"/>
          <w:szCs w:val="24"/>
        </w:rPr>
        <w:t>3.装修时间。中标人装修期间不得影响学校的教学、科研和生活秩序。</w:t>
      </w:r>
    </w:p>
    <w:p>
      <w:pPr>
        <w:spacing w:line="400" w:lineRule="exact"/>
        <w:ind w:firstLine="480" w:firstLineChars="200"/>
        <w:jc w:val="left"/>
        <w:rPr>
          <w:color w:val="000000" w:themeColor="text1"/>
          <w:sz w:val="24"/>
          <w:szCs w:val="24"/>
        </w:rPr>
      </w:pPr>
      <w:r>
        <w:rPr>
          <w:rFonts w:hint="eastAsia"/>
          <w:color w:val="000000" w:themeColor="text1"/>
          <w:sz w:val="24"/>
          <w:szCs w:val="24"/>
        </w:rPr>
        <w:t>4.消防要求。中标人在装修前需自行取得相关消防部门的审核。装修改造完成后，中标人应取得消防安全合格验收和消防部门出具的合法经营手续，相关费用由中标人支付。</w:t>
      </w:r>
    </w:p>
    <w:p>
      <w:pPr>
        <w:spacing w:line="400" w:lineRule="exact"/>
        <w:ind w:firstLine="480" w:firstLineChars="200"/>
        <w:jc w:val="left"/>
        <w:rPr>
          <w:color w:val="000000" w:themeColor="text1"/>
          <w:sz w:val="24"/>
          <w:szCs w:val="24"/>
        </w:rPr>
      </w:pPr>
      <w:r>
        <w:rPr>
          <w:rFonts w:hint="eastAsia"/>
          <w:color w:val="000000" w:themeColor="text1"/>
          <w:sz w:val="24"/>
          <w:szCs w:val="24"/>
        </w:rPr>
        <w:t>5.环保要求。装修材料、生产经营的废物、废气排放必须达到或符合国家环境保护的有关规范及要求，装修改造完成后，中标人必须取得环保部门的合格验收和环保部门出具的合法经营手续，相关费用由中标人支付。</w:t>
      </w:r>
    </w:p>
    <w:p>
      <w:pPr>
        <w:spacing w:line="400" w:lineRule="exact"/>
        <w:ind w:firstLine="480" w:firstLineChars="200"/>
        <w:jc w:val="left"/>
        <w:rPr>
          <w:color w:val="000000" w:themeColor="text1"/>
          <w:sz w:val="24"/>
          <w:szCs w:val="24"/>
        </w:rPr>
      </w:pPr>
      <w:r>
        <w:rPr>
          <w:rFonts w:hint="eastAsia"/>
          <w:color w:val="000000" w:themeColor="text1"/>
          <w:sz w:val="24"/>
          <w:szCs w:val="24"/>
        </w:rPr>
        <w:t>6.合格验收。消防和环保验收合格后，中标人必须向长江师范学院申报食堂装修改造和餐厨设施设备等验收，长江师范学院会同学校所在地的食品药品监督管理部门按审定通过的装修改造和餐厨设施设备等方案进行合格验收。</w:t>
      </w:r>
    </w:p>
    <w:p>
      <w:pPr>
        <w:spacing w:line="400" w:lineRule="exact"/>
        <w:ind w:firstLine="480" w:firstLineChars="200"/>
        <w:jc w:val="left"/>
        <w:rPr>
          <w:color w:val="000000" w:themeColor="text1"/>
          <w:sz w:val="24"/>
          <w:szCs w:val="24"/>
        </w:rPr>
      </w:pPr>
      <w:r>
        <w:rPr>
          <w:rFonts w:hint="eastAsia"/>
          <w:color w:val="000000" w:themeColor="text1"/>
          <w:sz w:val="24"/>
          <w:szCs w:val="24"/>
        </w:rPr>
        <w:t>7.装修审计。由长江师范学院委托在重庆市教委备案的审计公司按重庆市装饰工程计价定额及配套文件（2008）进行审计，其材料价格和人工价格按施工期间涪陵造价信息平均值执行（装饰人工执行平均价），如涪陵信息造价没有，则按重庆市造价信息平均值执行，前述信息价没有的由审计公司核定。审计界定装修投入实际金额达到投标文件承诺的，审计费用由我校承担，未达到，则审计费用由中标人承担。</w:t>
      </w:r>
    </w:p>
    <w:p>
      <w:pPr>
        <w:spacing w:line="400" w:lineRule="exact"/>
        <w:ind w:firstLine="480" w:firstLineChars="200"/>
        <w:jc w:val="left"/>
        <w:rPr>
          <w:color w:val="000000" w:themeColor="text1"/>
          <w:sz w:val="24"/>
          <w:szCs w:val="24"/>
        </w:rPr>
      </w:pPr>
      <w:r>
        <w:rPr>
          <w:rFonts w:hint="eastAsia"/>
          <w:color w:val="000000" w:themeColor="text1"/>
          <w:sz w:val="24"/>
          <w:szCs w:val="24"/>
        </w:rPr>
        <w:t>若审计发现实际投资金额未达到中标人的标书承诺金额，则视为中标人违约，按违约处理（学校将按合同约定扣除违约金）。中标人需就其实际差额交纳学校财务，由中标人半年内用于装修和设备投入，半年内未能使用部分作为违约金归属学校。</w:t>
      </w:r>
    </w:p>
    <w:bookmarkEnd w:id="24"/>
    <w:p>
      <w:pPr>
        <w:pStyle w:val="3"/>
        <w:spacing w:before="0" w:after="0" w:line="400" w:lineRule="exact"/>
        <w:ind w:firstLine="482" w:firstLineChars="200"/>
        <w:rPr>
          <w:color w:val="000000" w:themeColor="text1"/>
          <w:sz w:val="24"/>
          <w:szCs w:val="24"/>
        </w:rPr>
      </w:pPr>
      <w:bookmarkStart w:id="32" w:name="_Toc186919400"/>
      <w:bookmarkStart w:id="33" w:name="_Toc4476"/>
      <w:r>
        <w:rPr>
          <w:rFonts w:hint="eastAsia"/>
          <w:color w:val="000000" w:themeColor="text1"/>
          <w:sz w:val="24"/>
          <w:szCs w:val="24"/>
        </w:rPr>
        <w:t>八、特别要求</w:t>
      </w:r>
      <w:bookmarkEnd w:id="32"/>
      <w:bookmarkEnd w:id="33"/>
    </w:p>
    <w:p>
      <w:pPr>
        <w:spacing w:line="400" w:lineRule="exact"/>
        <w:ind w:firstLine="480" w:firstLineChars="200"/>
        <w:jc w:val="left"/>
        <w:rPr>
          <w:color w:val="000000" w:themeColor="text1"/>
          <w:sz w:val="24"/>
          <w:szCs w:val="24"/>
        </w:rPr>
      </w:pPr>
      <w:r>
        <w:rPr>
          <w:rFonts w:hint="eastAsia"/>
          <w:color w:val="000000" w:themeColor="text1"/>
          <w:sz w:val="24"/>
          <w:szCs w:val="24"/>
        </w:rPr>
        <w:t>（一）本次竞标的项目以人民币报价，不得低于投资最低限价，否则为无效报价，报价中应包含此项目中的装修费、设计费、设备费、运输费、检验费、安装费、安全费、保险费、人工费和各种税费等所有费用。</w:t>
      </w:r>
    </w:p>
    <w:p>
      <w:pPr>
        <w:spacing w:line="400" w:lineRule="exact"/>
        <w:ind w:firstLine="480" w:firstLineChars="200"/>
        <w:jc w:val="left"/>
        <w:rPr>
          <w:color w:val="000000" w:themeColor="text1"/>
          <w:sz w:val="24"/>
          <w:szCs w:val="24"/>
        </w:rPr>
      </w:pPr>
      <w:r>
        <w:rPr>
          <w:rFonts w:hint="eastAsia"/>
          <w:color w:val="000000" w:themeColor="text1"/>
          <w:sz w:val="24"/>
          <w:szCs w:val="24"/>
        </w:rPr>
        <w:t>（二）中标人在装修和安装工艺上必须达到国家或行业标准。</w:t>
      </w:r>
    </w:p>
    <w:p>
      <w:pPr>
        <w:spacing w:line="400" w:lineRule="exact"/>
        <w:ind w:firstLine="480" w:firstLineChars="200"/>
        <w:jc w:val="left"/>
        <w:rPr>
          <w:color w:val="000000" w:themeColor="text1"/>
          <w:sz w:val="24"/>
          <w:szCs w:val="24"/>
        </w:rPr>
      </w:pPr>
      <w:r>
        <w:rPr>
          <w:rFonts w:hint="eastAsia"/>
          <w:color w:val="000000" w:themeColor="text1"/>
          <w:sz w:val="24"/>
          <w:szCs w:val="24"/>
        </w:rPr>
        <w:t>（三）中标人所提供的设施设备和材料，必须是正品，不得人为降低任何质量及规格标准。</w:t>
      </w:r>
    </w:p>
    <w:p>
      <w:pPr>
        <w:spacing w:line="400" w:lineRule="exact"/>
        <w:ind w:firstLine="480" w:firstLineChars="200"/>
        <w:jc w:val="left"/>
        <w:rPr>
          <w:sz w:val="24"/>
          <w:szCs w:val="24"/>
        </w:rPr>
      </w:pPr>
      <w:r>
        <w:rPr>
          <w:rFonts w:hint="eastAsia"/>
          <w:sz w:val="24"/>
          <w:szCs w:val="24"/>
        </w:rPr>
        <w:t>（四）该项目若造成知识产权纠纷，均由中标人负责。</w:t>
      </w:r>
    </w:p>
    <w:p>
      <w:pPr>
        <w:spacing w:line="400" w:lineRule="exact"/>
        <w:ind w:firstLine="480" w:firstLineChars="200"/>
        <w:jc w:val="left"/>
        <w:rPr>
          <w:sz w:val="24"/>
          <w:szCs w:val="24"/>
        </w:rPr>
      </w:pPr>
      <w:r>
        <w:rPr>
          <w:rFonts w:hint="eastAsia"/>
          <w:sz w:val="24"/>
          <w:szCs w:val="24"/>
        </w:rPr>
        <w:t>（五）中标人在装修时所使用的一切材料必须达国家卫生环境标准。</w:t>
      </w:r>
    </w:p>
    <w:p>
      <w:pPr>
        <w:pStyle w:val="3"/>
        <w:spacing w:before="0" w:after="0" w:line="400" w:lineRule="exact"/>
        <w:ind w:firstLine="482" w:firstLineChars="200"/>
        <w:rPr>
          <w:sz w:val="24"/>
          <w:szCs w:val="24"/>
        </w:rPr>
      </w:pPr>
      <w:bookmarkStart w:id="34" w:name="_Toc186919401"/>
      <w:bookmarkStart w:id="35" w:name="_Toc29853"/>
      <w:r>
        <w:rPr>
          <w:rFonts w:hint="eastAsia"/>
          <w:sz w:val="24"/>
          <w:szCs w:val="24"/>
        </w:rPr>
        <w:t>九、其他</w:t>
      </w:r>
      <w:bookmarkEnd w:id="34"/>
      <w:bookmarkEnd w:id="35"/>
    </w:p>
    <w:p>
      <w:pPr>
        <w:spacing w:line="400" w:lineRule="exact"/>
        <w:ind w:firstLine="480" w:firstLineChars="200"/>
        <w:jc w:val="left"/>
        <w:rPr>
          <w:color w:val="000000" w:themeColor="text1"/>
          <w:sz w:val="24"/>
          <w:szCs w:val="24"/>
        </w:rPr>
      </w:pPr>
      <w:r>
        <w:rPr>
          <w:rFonts w:hint="eastAsia"/>
          <w:color w:val="000000" w:themeColor="text1"/>
          <w:sz w:val="24"/>
          <w:szCs w:val="24"/>
        </w:rPr>
        <w:t>（一）投标人必须在投标文件中对以上条款明确列出承诺，承诺内容必须达到本篇及招标文件其他条款的要求。</w:t>
      </w:r>
    </w:p>
    <w:p>
      <w:pPr>
        <w:spacing w:line="400" w:lineRule="exact"/>
        <w:ind w:firstLine="480" w:firstLineChars="200"/>
        <w:jc w:val="left"/>
        <w:rPr>
          <w:color w:val="000000" w:themeColor="text1"/>
          <w:sz w:val="36"/>
          <w:szCs w:val="36"/>
        </w:rPr>
      </w:pPr>
      <w:r>
        <w:rPr>
          <w:rFonts w:hint="eastAsia"/>
          <w:color w:val="000000" w:themeColor="text1"/>
          <w:sz w:val="24"/>
          <w:szCs w:val="24"/>
        </w:rPr>
        <w:t>（二）其他未尽事宜由双方在采购合同中详细约定。</w:t>
      </w:r>
      <w:bookmarkStart w:id="36" w:name="_Toc186919402"/>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bookmarkEnd w:id="36"/>
    <w:p>
      <w:pPr>
        <w:pStyle w:val="2"/>
        <w:spacing w:before="0" w:after="0"/>
        <w:jc w:val="center"/>
        <w:rPr>
          <w:color w:val="000000" w:themeColor="text1"/>
          <w:sz w:val="32"/>
          <w:szCs w:val="32"/>
        </w:rPr>
      </w:pPr>
      <w:bookmarkStart w:id="37" w:name="_Toc2126"/>
      <w:bookmarkStart w:id="38" w:name="_Toc186919409"/>
      <w:r>
        <w:rPr>
          <w:rFonts w:hint="eastAsia"/>
          <w:color w:val="000000" w:themeColor="text1"/>
          <w:sz w:val="32"/>
          <w:szCs w:val="32"/>
        </w:rPr>
        <w:t>第三篇评标方法、评标标准、无效投标条款和废标条款</w:t>
      </w:r>
      <w:bookmarkEnd w:id="37"/>
      <w:bookmarkEnd w:id="38"/>
    </w:p>
    <w:p>
      <w:pPr>
        <w:pStyle w:val="3"/>
        <w:spacing w:before="0" w:after="0"/>
        <w:ind w:firstLine="562" w:firstLineChars="200"/>
        <w:rPr>
          <w:color w:val="000000" w:themeColor="text1"/>
          <w:sz w:val="28"/>
          <w:szCs w:val="28"/>
        </w:rPr>
      </w:pPr>
      <w:bookmarkStart w:id="39" w:name="_Toc186919410"/>
      <w:bookmarkStart w:id="40" w:name="_Toc14064"/>
      <w:r>
        <w:rPr>
          <w:rFonts w:hint="eastAsia"/>
          <w:color w:val="000000" w:themeColor="text1"/>
          <w:sz w:val="28"/>
          <w:szCs w:val="28"/>
        </w:rPr>
        <w:t>一、评标方法</w:t>
      </w:r>
      <w:bookmarkEnd w:id="39"/>
      <w:bookmarkEnd w:id="40"/>
    </w:p>
    <w:p>
      <w:pPr>
        <w:spacing w:line="400" w:lineRule="exact"/>
        <w:ind w:firstLine="480" w:firstLineChars="200"/>
        <w:jc w:val="left"/>
        <w:rPr>
          <w:color w:val="000000" w:themeColor="text1"/>
          <w:sz w:val="24"/>
          <w:szCs w:val="24"/>
        </w:rPr>
      </w:pPr>
      <w:r>
        <w:rPr>
          <w:rFonts w:hint="eastAsia"/>
          <w:color w:val="000000" w:themeColor="text1"/>
          <w:sz w:val="24"/>
          <w:szCs w:val="24"/>
        </w:rPr>
        <w:t>（一）评标方法定义</w:t>
      </w:r>
    </w:p>
    <w:p>
      <w:pPr>
        <w:spacing w:line="400" w:lineRule="exact"/>
        <w:ind w:firstLine="480" w:firstLineChars="200"/>
        <w:jc w:val="left"/>
        <w:rPr>
          <w:color w:val="000000" w:themeColor="text1"/>
          <w:sz w:val="24"/>
          <w:szCs w:val="24"/>
        </w:rPr>
      </w:pPr>
      <w:r>
        <w:rPr>
          <w:rFonts w:hint="eastAsia"/>
          <w:color w:val="000000" w:themeColor="text1"/>
          <w:sz w:val="24"/>
          <w:szCs w:val="24"/>
        </w:rPr>
        <w:t>本项目采用综合评分法进行评标。综合评分法是指在最大限度地满足招标文件实质性要求前提下，按照招标文件中规定的各项评分因素进行综合评审后，以评标总得分最高的投标人作为中标候选单位的评标方法。投标人总得分为经济、技术、商务和现场答辩等评定因素分别按照相应权重值计算分项得分后相加，满分为</w:t>
      </w:r>
      <w:r>
        <w:rPr>
          <w:color w:val="000000" w:themeColor="text1"/>
          <w:sz w:val="24"/>
          <w:szCs w:val="24"/>
        </w:rPr>
        <w:t>100</w:t>
      </w:r>
      <w:r>
        <w:rPr>
          <w:rFonts w:hint="eastAsia"/>
          <w:color w:val="000000" w:themeColor="text1"/>
          <w:sz w:val="24"/>
          <w:szCs w:val="24"/>
        </w:rPr>
        <w:t>分。</w:t>
      </w:r>
    </w:p>
    <w:p>
      <w:pPr>
        <w:spacing w:line="400" w:lineRule="exact"/>
        <w:ind w:firstLine="480" w:firstLineChars="200"/>
        <w:jc w:val="left"/>
        <w:rPr>
          <w:color w:val="000000" w:themeColor="text1"/>
          <w:sz w:val="24"/>
          <w:szCs w:val="24"/>
        </w:rPr>
      </w:pPr>
      <w:r>
        <w:rPr>
          <w:rFonts w:hint="eastAsia"/>
          <w:color w:val="000000" w:themeColor="text1"/>
          <w:sz w:val="24"/>
          <w:szCs w:val="24"/>
        </w:rPr>
        <w:t>（二）评标程序</w:t>
      </w:r>
    </w:p>
    <w:p>
      <w:pPr>
        <w:spacing w:line="400" w:lineRule="exact"/>
        <w:ind w:firstLine="480" w:firstLineChars="200"/>
        <w:jc w:val="left"/>
        <w:rPr>
          <w:color w:val="000000" w:themeColor="text1"/>
          <w:sz w:val="24"/>
          <w:szCs w:val="24"/>
        </w:rPr>
      </w:pPr>
      <w:r>
        <w:rPr>
          <w:rFonts w:hint="eastAsia"/>
          <w:color w:val="000000" w:themeColor="text1"/>
          <w:sz w:val="24"/>
          <w:szCs w:val="24"/>
        </w:rPr>
        <w:t>评标工作由招标人负责组织，具体评标事务由招标人依法组建的评标委员会负责。</w:t>
      </w:r>
    </w:p>
    <w:p>
      <w:pPr>
        <w:spacing w:line="400" w:lineRule="exact"/>
        <w:ind w:firstLine="480" w:firstLineChars="200"/>
        <w:jc w:val="left"/>
        <w:rPr>
          <w:color w:val="000000" w:themeColor="text1"/>
          <w:sz w:val="24"/>
          <w:szCs w:val="24"/>
        </w:rPr>
      </w:pPr>
      <w:r>
        <w:rPr>
          <w:rFonts w:hint="eastAsia"/>
          <w:color w:val="000000" w:themeColor="text1"/>
          <w:sz w:val="24"/>
          <w:szCs w:val="24"/>
        </w:rPr>
        <w:t>评标委员会成员到位后，推选其中一位担任评审组长，并由评审组长牵头领导该项目评审工作。评标委员会按以下程序独立履行评审职责：</w:t>
      </w:r>
    </w:p>
    <w:p>
      <w:pPr>
        <w:spacing w:line="400" w:lineRule="exact"/>
        <w:ind w:firstLine="480" w:firstLineChars="200"/>
        <w:jc w:val="left"/>
        <w:rPr>
          <w:color w:val="000000" w:themeColor="text1"/>
          <w:sz w:val="24"/>
          <w:szCs w:val="24"/>
        </w:rPr>
      </w:pPr>
      <w:r>
        <w:rPr>
          <w:rFonts w:hint="eastAsia"/>
          <w:color w:val="000000" w:themeColor="text1"/>
          <w:sz w:val="24"/>
          <w:szCs w:val="24"/>
        </w:rPr>
        <w:t>1.资格性检查。依据法律法规和招标文件的规定，对投标人投标文件中的资格证明、投标保证金等进行审查，以确定投标单位是否具备投标资格。资格性检查资料表如下：</w:t>
      </w:r>
    </w:p>
    <w:tbl>
      <w:tblPr>
        <w:tblStyle w:val="43"/>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00"/>
        <w:gridCol w:w="2973"/>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08" w:type="dxa"/>
            <w:vAlign w:val="center"/>
          </w:tcPr>
          <w:p>
            <w:pPr>
              <w:spacing w:line="460" w:lineRule="exact"/>
              <w:jc w:val="center"/>
              <w:rPr>
                <w:rFonts w:ascii="宋体" w:cs="宋体"/>
                <w:color w:val="000000" w:themeColor="text1"/>
                <w:kern w:val="0"/>
                <w:sz w:val="24"/>
                <w:szCs w:val="24"/>
              </w:rPr>
            </w:pPr>
            <w:r>
              <w:rPr>
                <w:rFonts w:hint="eastAsia" w:ascii="宋体" w:hAnsi="宋体" w:cs="宋体"/>
                <w:color w:val="000000" w:themeColor="text1"/>
                <w:kern w:val="0"/>
                <w:sz w:val="24"/>
                <w:szCs w:val="24"/>
              </w:rPr>
              <w:t>序号</w:t>
            </w:r>
          </w:p>
        </w:tc>
        <w:tc>
          <w:tcPr>
            <w:tcW w:w="3673" w:type="dxa"/>
            <w:gridSpan w:val="2"/>
            <w:vAlign w:val="center"/>
          </w:tcPr>
          <w:p>
            <w:pPr>
              <w:spacing w:line="460" w:lineRule="exact"/>
              <w:jc w:val="center"/>
              <w:rPr>
                <w:rFonts w:ascii="宋体" w:cs="宋体"/>
                <w:color w:val="000000" w:themeColor="text1"/>
                <w:kern w:val="0"/>
                <w:sz w:val="24"/>
                <w:szCs w:val="24"/>
              </w:rPr>
            </w:pPr>
            <w:r>
              <w:rPr>
                <w:rFonts w:hint="eastAsia" w:ascii="宋体" w:hAnsi="宋体" w:cs="宋体"/>
                <w:color w:val="000000" w:themeColor="text1"/>
                <w:kern w:val="0"/>
                <w:sz w:val="24"/>
                <w:szCs w:val="24"/>
              </w:rPr>
              <w:t>检查因素</w:t>
            </w:r>
          </w:p>
        </w:tc>
        <w:tc>
          <w:tcPr>
            <w:tcW w:w="4587" w:type="dxa"/>
            <w:vAlign w:val="center"/>
          </w:tcPr>
          <w:p>
            <w:pPr>
              <w:spacing w:line="460" w:lineRule="exact"/>
              <w:jc w:val="center"/>
              <w:rPr>
                <w:rFonts w:ascii="宋体" w:cs="宋体"/>
                <w:color w:val="000000" w:themeColor="text1"/>
                <w:kern w:val="0"/>
                <w:sz w:val="24"/>
                <w:szCs w:val="24"/>
              </w:rPr>
            </w:pPr>
            <w:r>
              <w:rPr>
                <w:rFonts w:hint="eastAsia" w:ascii="宋体" w:hAnsi="宋体" w:cs="宋体"/>
                <w:color w:val="000000" w:themeColor="text1"/>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trPr>
        <w:tc>
          <w:tcPr>
            <w:tcW w:w="808" w:type="dxa"/>
            <w:vMerge w:val="restart"/>
            <w:vAlign w:val="center"/>
          </w:tcPr>
          <w:p>
            <w:pPr>
              <w:spacing w:line="460" w:lineRule="exact"/>
              <w:jc w:val="center"/>
              <w:rPr>
                <w:rFonts w:ascii="宋体" w:hAnsi="宋体"/>
                <w:color w:val="000000" w:themeColor="text1"/>
                <w:sz w:val="24"/>
                <w:szCs w:val="24"/>
              </w:rPr>
            </w:pPr>
            <w:r>
              <w:rPr>
                <w:rFonts w:ascii="宋体" w:hAnsi="宋体"/>
                <w:color w:val="000000" w:themeColor="text1"/>
                <w:sz w:val="24"/>
                <w:szCs w:val="24"/>
              </w:rPr>
              <w:t>1</w:t>
            </w:r>
          </w:p>
        </w:tc>
        <w:tc>
          <w:tcPr>
            <w:tcW w:w="700" w:type="dxa"/>
            <w:vMerge w:val="restart"/>
            <w:vAlign w:val="center"/>
          </w:tcPr>
          <w:p>
            <w:pPr>
              <w:spacing w:line="460" w:lineRule="exact"/>
              <w:rPr>
                <w:rFonts w:ascii="宋体" w:cs="FangSong_GB2312"/>
                <w:color w:val="000000" w:themeColor="text1"/>
                <w:sz w:val="24"/>
                <w:szCs w:val="24"/>
                <w:lang w:val="zh-CN"/>
              </w:rPr>
            </w:pPr>
            <w:r>
              <w:rPr>
                <w:rFonts w:hint="eastAsia" w:ascii="宋体" w:hAnsi="宋体" w:cs="FangSong_GB2312"/>
                <w:color w:val="000000" w:themeColor="text1"/>
                <w:sz w:val="24"/>
                <w:szCs w:val="24"/>
                <w:lang w:val="zh-CN"/>
              </w:rPr>
              <w:t>投标人应符合的基本资格条件</w:t>
            </w:r>
          </w:p>
        </w:tc>
        <w:tc>
          <w:tcPr>
            <w:tcW w:w="2973" w:type="dxa"/>
            <w:vAlign w:val="center"/>
          </w:tcPr>
          <w:p>
            <w:pPr>
              <w:spacing w:line="46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w:t>
            </w:r>
            <w:r>
              <w:rPr>
                <w:rFonts w:hint="eastAsia" w:ascii="宋体" w:hAnsi="宋体"/>
                <w:color w:val="000000" w:themeColor="text1"/>
                <w:sz w:val="24"/>
                <w:szCs w:val="24"/>
              </w:rPr>
              <w:t>）具有独立承担民事责任的能力</w:t>
            </w:r>
          </w:p>
        </w:tc>
        <w:tc>
          <w:tcPr>
            <w:tcW w:w="4587" w:type="dxa"/>
            <w:vAlign w:val="center"/>
          </w:tcPr>
          <w:p>
            <w:pPr>
              <w:spacing w:line="240" w:lineRule="exact"/>
              <w:rPr>
                <w:rFonts w:ascii="宋体" w:hAnsi="宋体" w:cs="宋体"/>
                <w:color w:val="000000" w:themeColor="text1"/>
                <w:kern w:val="0"/>
                <w:sz w:val="24"/>
                <w:szCs w:val="24"/>
              </w:rPr>
            </w:pPr>
            <w:r>
              <w:rPr>
                <w:rFonts w:hint="eastAsia" w:ascii="宋体" w:hAnsi="宋体" w:cs="宋体"/>
                <w:color w:val="000000" w:themeColor="text1"/>
                <w:kern w:val="0"/>
                <w:sz w:val="24"/>
                <w:szCs w:val="24"/>
              </w:rPr>
              <w:t>投标人法人营业执照（副本）或事业单位法人证书（副本）或个体工商户营业执照或有效的自然人身份证明、组织机构代码证复印件、税务登记证（副本）复印件（注①）；</w:t>
            </w:r>
          </w:p>
          <w:p>
            <w:pPr>
              <w:spacing w:line="460" w:lineRule="exact"/>
              <w:rPr>
                <w:rFonts w:ascii="宋体"/>
                <w:color w:val="000000" w:themeColor="text1"/>
                <w:sz w:val="24"/>
                <w:szCs w:val="24"/>
              </w:rPr>
            </w:pPr>
            <w:r>
              <w:rPr>
                <w:rFonts w:hint="eastAsia" w:ascii="宋体" w:hAnsi="宋体" w:cs="宋体"/>
                <w:color w:val="000000" w:themeColor="text1"/>
                <w:kern w:val="0"/>
                <w:sz w:val="24"/>
                <w:szCs w:val="24"/>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trPr>
        <w:tc>
          <w:tcPr>
            <w:tcW w:w="808" w:type="dxa"/>
            <w:vMerge w:val="continue"/>
            <w:vAlign w:val="center"/>
          </w:tcPr>
          <w:p>
            <w:pPr>
              <w:spacing w:line="460" w:lineRule="exact"/>
              <w:jc w:val="center"/>
              <w:rPr>
                <w:rFonts w:ascii="宋体"/>
                <w:color w:val="000000" w:themeColor="text1"/>
                <w:sz w:val="24"/>
                <w:szCs w:val="24"/>
              </w:rPr>
            </w:pPr>
          </w:p>
        </w:tc>
        <w:tc>
          <w:tcPr>
            <w:tcW w:w="700" w:type="dxa"/>
            <w:vMerge w:val="continue"/>
            <w:vAlign w:val="center"/>
          </w:tcPr>
          <w:p>
            <w:pPr>
              <w:spacing w:line="460" w:lineRule="exact"/>
              <w:rPr>
                <w:rFonts w:ascii="宋体" w:cs="FangSong_GB2312"/>
                <w:color w:val="000000" w:themeColor="text1"/>
                <w:sz w:val="24"/>
                <w:szCs w:val="24"/>
                <w:lang w:val="zh-CN"/>
              </w:rPr>
            </w:pPr>
          </w:p>
        </w:tc>
        <w:tc>
          <w:tcPr>
            <w:tcW w:w="2973" w:type="dxa"/>
            <w:vAlign w:val="center"/>
          </w:tcPr>
          <w:p>
            <w:pPr>
              <w:spacing w:line="24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2</w:t>
            </w:r>
            <w:r>
              <w:rPr>
                <w:rFonts w:hint="eastAsia" w:ascii="宋体" w:hAnsi="宋体"/>
                <w:color w:val="000000" w:themeColor="text1"/>
                <w:sz w:val="24"/>
                <w:szCs w:val="24"/>
              </w:rPr>
              <w:t>）具有良好的商业信誉和健全的财务会计制度</w:t>
            </w:r>
          </w:p>
        </w:tc>
        <w:tc>
          <w:tcPr>
            <w:tcW w:w="4587" w:type="dxa"/>
            <w:vAlign w:val="center"/>
          </w:tcPr>
          <w:p>
            <w:pPr>
              <w:spacing w:line="240" w:lineRule="exact"/>
              <w:rPr>
                <w:rFonts w:ascii="宋体"/>
                <w:color w:val="000000" w:themeColor="text1"/>
                <w:sz w:val="24"/>
                <w:szCs w:val="24"/>
              </w:rPr>
            </w:pPr>
            <w:r>
              <w:rPr>
                <w:rFonts w:hint="eastAsia" w:ascii="宋体" w:hAnsi="宋体" w:cs="宋体"/>
                <w:color w:val="000000" w:themeColor="text1"/>
                <w:kern w:val="0"/>
                <w:sz w:val="24"/>
                <w:szCs w:val="24"/>
              </w:rPr>
              <w:t>提供上一年度财务状况报告（表）复印件，本年度新成立的公司提供投标截止时间前一个月的财务状况报告（表）复印件。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808" w:type="dxa"/>
            <w:vMerge w:val="continue"/>
            <w:vAlign w:val="center"/>
          </w:tcPr>
          <w:p>
            <w:pPr>
              <w:spacing w:line="460" w:lineRule="exact"/>
              <w:jc w:val="center"/>
              <w:rPr>
                <w:rFonts w:ascii="宋体"/>
                <w:color w:val="000000" w:themeColor="text1"/>
                <w:sz w:val="24"/>
                <w:szCs w:val="24"/>
              </w:rPr>
            </w:pPr>
          </w:p>
        </w:tc>
        <w:tc>
          <w:tcPr>
            <w:tcW w:w="700" w:type="dxa"/>
            <w:vMerge w:val="continue"/>
            <w:vAlign w:val="center"/>
          </w:tcPr>
          <w:p>
            <w:pPr>
              <w:spacing w:line="460" w:lineRule="exact"/>
              <w:rPr>
                <w:rFonts w:ascii="宋体" w:cs="FangSong_GB2312"/>
                <w:color w:val="000000" w:themeColor="text1"/>
                <w:sz w:val="24"/>
                <w:szCs w:val="24"/>
                <w:lang w:val="zh-CN"/>
              </w:rPr>
            </w:pPr>
          </w:p>
        </w:tc>
        <w:tc>
          <w:tcPr>
            <w:tcW w:w="2973" w:type="dxa"/>
            <w:vAlign w:val="center"/>
          </w:tcPr>
          <w:p>
            <w:pPr>
              <w:spacing w:line="460" w:lineRule="exact"/>
              <w:rPr>
                <w:rFonts w:ascii="宋体" w:cs="FangSong_GB2312"/>
                <w:color w:val="000000" w:themeColor="text1"/>
                <w:sz w:val="24"/>
                <w:szCs w:val="24"/>
                <w:lang w:val="zh-CN"/>
              </w:rPr>
            </w:pPr>
            <w:r>
              <w:rPr>
                <w:rFonts w:hint="eastAsia" w:ascii="宋体" w:hAnsi="宋体" w:cs="FangSong_GB2312"/>
                <w:color w:val="000000" w:themeColor="text1"/>
                <w:sz w:val="24"/>
                <w:szCs w:val="24"/>
                <w:lang w:val="zh-CN"/>
              </w:rPr>
              <w:t>（</w:t>
            </w:r>
            <w:r>
              <w:rPr>
                <w:rFonts w:ascii="宋体" w:hAnsi="宋体" w:cs="FangSong_GB2312"/>
                <w:color w:val="000000" w:themeColor="text1"/>
                <w:sz w:val="24"/>
                <w:szCs w:val="24"/>
                <w:lang w:val="zh-CN"/>
              </w:rPr>
              <w:t>3</w:t>
            </w:r>
            <w:r>
              <w:rPr>
                <w:rFonts w:hint="eastAsia" w:ascii="宋体" w:hAnsi="宋体" w:cs="FangSong_GB2312"/>
                <w:color w:val="000000" w:themeColor="text1"/>
                <w:sz w:val="24"/>
                <w:szCs w:val="24"/>
                <w:lang w:val="zh-CN"/>
              </w:rPr>
              <w:t>）具有履行合同所需的专业技术能力</w:t>
            </w:r>
          </w:p>
        </w:tc>
        <w:tc>
          <w:tcPr>
            <w:tcW w:w="4587" w:type="dxa"/>
            <w:vAlign w:val="center"/>
          </w:tcPr>
          <w:p>
            <w:pPr>
              <w:spacing w:line="460" w:lineRule="exact"/>
              <w:rPr>
                <w:rFonts w:ascii="宋体"/>
                <w:color w:val="000000" w:themeColor="text1"/>
                <w:sz w:val="24"/>
                <w:szCs w:val="24"/>
              </w:rPr>
            </w:pPr>
            <w:r>
              <w:rPr>
                <w:rFonts w:hint="eastAsia" w:ascii="宋体" w:hAnsi="宋体"/>
                <w:color w:val="000000" w:themeColor="text1"/>
                <w:sz w:val="24"/>
                <w:szCs w:val="24"/>
              </w:rPr>
              <w:t>主要技术人员、售后服务机构人员能力等。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808" w:type="dxa"/>
            <w:vMerge w:val="continue"/>
            <w:vAlign w:val="center"/>
          </w:tcPr>
          <w:p>
            <w:pPr>
              <w:spacing w:line="460" w:lineRule="exact"/>
              <w:jc w:val="center"/>
              <w:rPr>
                <w:rFonts w:ascii="宋体"/>
                <w:color w:val="000000" w:themeColor="text1"/>
                <w:sz w:val="24"/>
                <w:szCs w:val="24"/>
              </w:rPr>
            </w:pPr>
          </w:p>
        </w:tc>
        <w:tc>
          <w:tcPr>
            <w:tcW w:w="700" w:type="dxa"/>
            <w:vMerge w:val="continue"/>
            <w:vAlign w:val="center"/>
          </w:tcPr>
          <w:p>
            <w:pPr>
              <w:spacing w:line="460" w:lineRule="exact"/>
              <w:rPr>
                <w:rFonts w:ascii="宋体" w:cs="FangSong_GB2312"/>
                <w:color w:val="000000" w:themeColor="text1"/>
                <w:sz w:val="24"/>
                <w:szCs w:val="24"/>
                <w:lang w:val="zh-CN"/>
              </w:rPr>
            </w:pPr>
          </w:p>
        </w:tc>
        <w:tc>
          <w:tcPr>
            <w:tcW w:w="2973" w:type="dxa"/>
            <w:vAlign w:val="center"/>
          </w:tcPr>
          <w:p>
            <w:pPr>
              <w:spacing w:line="24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4</w:t>
            </w:r>
            <w:r>
              <w:rPr>
                <w:rFonts w:hint="eastAsia" w:ascii="宋体" w:hAnsi="宋体"/>
                <w:color w:val="000000" w:themeColor="text1"/>
                <w:sz w:val="24"/>
                <w:szCs w:val="24"/>
              </w:rPr>
              <w:t>）有依法缴纳税收和社会保障金的良好记录</w:t>
            </w:r>
          </w:p>
        </w:tc>
        <w:tc>
          <w:tcPr>
            <w:tcW w:w="4587" w:type="dxa"/>
            <w:vAlign w:val="center"/>
          </w:tcPr>
          <w:p>
            <w:pPr>
              <w:spacing w:line="240" w:lineRule="exact"/>
              <w:rPr>
                <w:rFonts w:ascii="宋体"/>
                <w:color w:val="000000" w:themeColor="text1"/>
                <w:sz w:val="24"/>
                <w:szCs w:val="24"/>
              </w:rPr>
            </w:pPr>
            <w:r>
              <w:rPr>
                <w:rFonts w:hint="eastAsia" w:ascii="宋体" w:hAnsi="宋体"/>
                <w:color w:val="000000" w:themeColor="text1"/>
                <w:sz w:val="24"/>
                <w:szCs w:val="24"/>
              </w:rPr>
              <w:t>缴纳税收的证明材料和</w:t>
            </w:r>
            <w:r>
              <w:rPr>
                <w:rFonts w:hint="eastAsia" w:ascii="宋体" w:hAnsi="宋体" w:cs="宋体"/>
                <w:color w:val="000000" w:themeColor="text1"/>
                <w:kern w:val="0"/>
                <w:sz w:val="24"/>
                <w:szCs w:val="24"/>
              </w:rPr>
              <w:t>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808" w:type="dxa"/>
            <w:vMerge w:val="continue"/>
            <w:vAlign w:val="center"/>
          </w:tcPr>
          <w:p>
            <w:pPr>
              <w:spacing w:line="460" w:lineRule="exact"/>
              <w:jc w:val="center"/>
              <w:rPr>
                <w:rFonts w:ascii="宋体"/>
                <w:color w:val="000000" w:themeColor="text1"/>
                <w:sz w:val="24"/>
                <w:szCs w:val="24"/>
              </w:rPr>
            </w:pPr>
          </w:p>
        </w:tc>
        <w:tc>
          <w:tcPr>
            <w:tcW w:w="700" w:type="dxa"/>
            <w:vMerge w:val="continue"/>
            <w:vAlign w:val="center"/>
          </w:tcPr>
          <w:p>
            <w:pPr>
              <w:spacing w:line="460" w:lineRule="exact"/>
              <w:rPr>
                <w:rFonts w:ascii="宋体" w:cs="FangSong_GB2312"/>
                <w:color w:val="000000" w:themeColor="text1"/>
                <w:sz w:val="24"/>
                <w:szCs w:val="24"/>
                <w:lang w:val="zh-CN"/>
              </w:rPr>
            </w:pPr>
          </w:p>
        </w:tc>
        <w:tc>
          <w:tcPr>
            <w:tcW w:w="2973" w:type="dxa"/>
            <w:vAlign w:val="center"/>
          </w:tcPr>
          <w:p>
            <w:pPr>
              <w:spacing w:line="240" w:lineRule="exac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5</w:t>
            </w:r>
            <w:r>
              <w:rPr>
                <w:rFonts w:hint="eastAsia" w:ascii="宋体" w:hAnsi="宋体"/>
                <w:color w:val="000000" w:themeColor="text1"/>
                <w:sz w:val="24"/>
                <w:szCs w:val="24"/>
              </w:rPr>
              <w:t>）投标人必须签署并加盖本单位公章的廉洁承诺书；参加政府采购活动前三年内，在经营活动中没有重大违法记录</w:t>
            </w:r>
          </w:p>
        </w:tc>
        <w:tc>
          <w:tcPr>
            <w:tcW w:w="4587" w:type="dxa"/>
            <w:vAlign w:val="center"/>
          </w:tcPr>
          <w:p>
            <w:pPr>
              <w:spacing w:line="240" w:lineRule="exact"/>
              <w:rPr>
                <w:rFonts w:ascii="宋体"/>
                <w:color w:val="000000" w:themeColor="text1"/>
                <w:sz w:val="24"/>
                <w:szCs w:val="24"/>
              </w:rPr>
            </w:pPr>
            <w:r>
              <w:rPr>
                <w:rFonts w:hint="eastAsia" w:ascii="宋体" w:hAnsi="宋体" w:cs="宋体"/>
                <w:color w:val="000000" w:themeColor="text1"/>
                <w:kern w:val="0"/>
                <w:sz w:val="24"/>
                <w:szCs w:val="24"/>
              </w:rPr>
              <w:t>投标人提供</w:t>
            </w:r>
            <w:r>
              <w:rPr>
                <w:rFonts w:hint="eastAsia" w:ascii="宋体" w:hAnsi="宋体"/>
                <w:color w:val="000000" w:themeColor="text1"/>
                <w:sz w:val="24"/>
                <w:szCs w:val="24"/>
              </w:rPr>
              <w:t>廉洁承诺书、</w:t>
            </w:r>
            <w:r>
              <w:rPr>
                <w:rFonts w:hint="eastAsia" w:ascii="宋体" w:hAnsi="宋体" w:cs="宋体"/>
                <w:color w:val="000000" w:themeColor="text1"/>
                <w:kern w:val="0"/>
                <w:sz w:val="24"/>
                <w:szCs w:val="24"/>
              </w:rPr>
              <w:t>书面声明、信用中国网站（</w:t>
            </w:r>
            <w:r>
              <w:rPr>
                <w:rFonts w:ascii="宋体" w:hAnsi="宋体" w:cs="宋体"/>
                <w:color w:val="000000" w:themeColor="text1"/>
                <w:kern w:val="0"/>
                <w:sz w:val="24"/>
                <w:szCs w:val="24"/>
              </w:rPr>
              <w:t>www.creditchina.gov.cn</w:t>
            </w:r>
            <w:r>
              <w:rPr>
                <w:rFonts w:hint="eastAsia" w:ascii="宋体" w:hAnsi="宋体" w:cs="宋体"/>
                <w:color w:val="000000" w:themeColor="text1"/>
                <w:kern w:val="0"/>
                <w:sz w:val="24"/>
                <w:szCs w:val="24"/>
              </w:rPr>
              <w:t>）“信用信息”（包括“失信被执行人”及“重大税收违法案件当事人名单”）及“行政处罚”查询结果以及中国政府采购网（</w:t>
            </w:r>
            <w:r>
              <w:rPr>
                <w:rFonts w:ascii="宋体" w:hAnsi="宋体" w:cs="宋体"/>
                <w:color w:val="000000" w:themeColor="text1"/>
                <w:kern w:val="0"/>
                <w:sz w:val="24"/>
                <w:szCs w:val="24"/>
              </w:rPr>
              <w:t>www.ccgp.gov.cn</w:t>
            </w:r>
            <w:r>
              <w:rPr>
                <w:rFonts w:hint="eastAsia" w:ascii="宋体" w:hAnsi="宋体" w:cs="宋体"/>
                <w:color w:val="000000" w:themeColor="text1"/>
                <w:kern w:val="0"/>
                <w:sz w:val="24"/>
                <w:szCs w:val="24"/>
              </w:rPr>
              <w:t>）“政府采购严重违法失信行为纪录名单”查询结果（上述两个网站查询结果网页打印件并加盖投标人公章）。查询结果为本项目采购公告发布之日起至投标截止时间前。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808" w:type="dxa"/>
            <w:vMerge w:val="continue"/>
            <w:vAlign w:val="center"/>
          </w:tcPr>
          <w:p>
            <w:pPr>
              <w:spacing w:line="460" w:lineRule="exact"/>
              <w:jc w:val="center"/>
              <w:rPr>
                <w:rFonts w:ascii="宋体"/>
                <w:color w:val="000000" w:themeColor="text1"/>
                <w:sz w:val="24"/>
                <w:szCs w:val="24"/>
              </w:rPr>
            </w:pPr>
          </w:p>
        </w:tc>
        <w:tc>
          <w:tcPr>
            <w:tcW w:w="700" w:type="dxa"/>
            <w:vMerge w:val="continue"/>
            <w:vAlign w:val="center"/>
          </w:tcPr>
          <w:p>
            <w:pPr>
              <w:spacing w:line="460" w:lineRule="exact"/>
              <w:rPr>
                <w:rFonts w:ascii="宋体" w:cs="FangSong_GB2312"/>
                <w:color w:val="000000" w:themeColor="text1"/>
                <w:sz w:val="24"/>
                <w:szCs w:val="24"/>
                <w:lang w:val="zh-CN"/>
              </w:rPr>
            </w:pPr>
          </w:p>
        </w:tc>
        <w:tc>
          <w:tcPr>
            <w:tcW w:w="2973" w:type="dxa"/>
            <w:vAlign w:val="center"/>
          </w:tcPr>
          <w:p>
            <w:pPr>
              <w:spacing w:line="240" w:lineRule="exact"/>
              <w:rPr>
                <w:rFonts w:ascii="宋体"/>
                <w:color w:val="000000" w:themeColor="text1"/>
                <w:sz w:val="24"/>
                <w:szCs w:val="24"/>
              </w:rPr>
            </w:pPr>
            <w:r>
              <w:rPr>
                <w:rFonts w:hint="eastAsia" w:ascii="宋体" w:hAnsi="宋体" w:cs="宋体"/>
                <w:color w:val="000000" w:themeColor="text1"/>
                <w:kern w:val="0"/>
                <w:sz w:val="24"/>
                <w:szCs w:val="24"/>
              </w:rPr>
              <w:t>（</w:t>
            </w:r>
            <w:r>
              <w:rPr>
                <w:rFonts w:ascii="宋体" w:hAnsi="宋体" w:cs="宋体"/>
                <w:color w:val="000000" w:themeColor="text1"/>
                <w:kern w:val="0"/>
                <w:sz w:val="24"/>
                <w:szCs w:val="24"/>
              </w:rPr>
              <w:t>6</w:t>
            </w:r>
            <w:r>
              <w:rPr>
                <w:rFonts w:hint="eastAsia" w:ascii="宋体" w:hAnsi="宋体" w:cs="宋体"/>
                <w:color w:val="000000" w:themeColor="text1"/>
                <w:kern w:val="0"/>
                <w:sz w:val="24"/>
                <w:szCs w:val="24"/>
              </w:rPr>
              <w:t>）法律、行政法规规定的其他条件</w:t>
            </w:r>
          </w:p>
        </w:tc>
        <w:tc>
          <w:tcPr>
            <w:tcW w:w="4587" w:type="dxa"/>
            <w:vAlign w:val="center"/>
          </w:tcPr>
          <w:p>
            <w:pPr>
              <w:spacing w:line="240" w:lineRule="exact"/>
              <w:rPr>
                <w:rFonts w:ascii="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808" w:type="dxa"/>
            <w:vAlign w:val="center"/>
          </w:tcPr>
          <w:p>
            <w:pPr>
              <w:spacing w:line="460" w:lineRule="exact"/>
              <w:jc w:val="center"/>
              <w:rPr>
                <w:rFonts w:ascii="宋体" w:hAnsi="宋体"/>
                <w:color w:val="000000" w:themeColor="text1"/>
                <w:sz w:val="24"/>
                <w:szCs w:val="24"/>
              </w:rPr>
            </w:pPr>
            <w:r>
              <w:rPr>
                <w:rFonts w:ascii="宋体" w:hAnsi="宋体"/>
                <w:color w:val="000000" w:themeColor="text1"/>
                <w:sz w:val="24"/>
                <w:szCs w:val="24"/>
              </w:rPr>
              <w:t>2</w:t>
            </w:r>
          </w:p>
        </w:tc>
        <w:tc>
          <w:tcPr>
            <w:tcW w:w="3673" w:type="dxa"/>
            <w:gridSpan w:val="2"/>
            <w:vAlign w:val="center"/>
          </w:tcPr>
          <w:p>
            <w:pPr>
              <w:spacing w:line="460" w:lineRule="exact"/>
              <w:rPr>
                <w:rFonts w:ascii="宋体"/>
                <w:color w:val="000000" w:themeColor="text1"/>
                <w:sz w:val="24"/>
                <w:szCs w:val="24"/>
              </w:rPr>
            </w:pPr>
            <w:r>
              <w:rPr>
                <w:rFonts w:hint="eastAsia" w:ascii="宋体" w:hAnsi="宋体"/>
                <w:color w:val="000000" w:themeColor="text1"/>
                <w:sz w:val="24"/>
                <w:szCs w:val="24"/>
              </w:rPr>
              <w:t>投标人必须符合的特定资格条件（要求）</w:t>
            </w:r>
          </w:p>
        </w:tc>
        <w:tc>
          <w:tcPr>
            <w:tcW w:w="4587" w:type="dxa"/>
            <w:vAlign w:val="center"/>
          </w:tcPr>
          <w:p>
            <w:pPr>
              <w:spacing w:line="360" w:lineRule="auto"/>
              <w:ind w:firstLine="360" w:firstLineChars="150"/>
              <w:jc w:val="left"/>
              <w:rPr>
                <w:color w:val="000000" w:themeColor="text1"/>
                <w:sz w:val="24"/>
                <w:szCs w:val="24"/>
              </w:rPr>
            </w:pPr>
            <w:r>
              <w:rPr>
                <w:color w:val="000000" w:themeColor="text1"/>
                <w:sz w:val="24"/>
                <w:szCs w:val="24"/>
              </w:rPr>
              <w:t>1</w:t>
            </w:r>
            <w:r>
              <w:rPr>
                <w:rFonts w:hint="eastAsia"/>
                <w:color w:val="000000" w:themeColor="text1"/>
                <w:sz w:val="24"/>
                <w:szCs w:val="24"/>
              </w:rPr>
              <w:t>．投标人需持有</w:t>
            </w:r>
            <w:r>
              <w:rPr>
                <w:rFonts w:hint="eastAsia"/>
                <w:sz w:val="24"/>
                <w:szCs w:val="24"/>
              </w:rPr>
              <w:t>有效的</w:t>
            </w:r>
            <w:r>
              <w:rPr>
                <w:rFonts w:hint="eastAsia"/>
                <w:color w:val="000000" w:themeColor="text1"/>
                <w:sz w:val="24"/>
                <w:szCs w:val="24"/>
              </w:rPr>
              <w:t>食品药品监督管理局颁发的经营地在高校食堂的餐饮服务许可证（提供证书复印件并加盖鲜章，原件备查）；</w:t>
            </w:r>
          </w:p>
          <w:p>
            <w:pPr>
              <w:spacing w:line="400" w:lineRule="exact"/>
              <w:ind w:firstLine="360" w:firstLineChars="150"/>
              <w:jc w:val="left"/>
              <w:rPr>
                <w:color w:val="000000" w:themeColor="text1"/>
                <w:sz w:val="24"/>
                <w:szCs w:val="24"/>
              </w:rPr>
            </w:pPr>
            <w:r>
              <w:rPr>
                <w:color w:val="000000" w:themeColor="text1"/>
                <w:sz w:val="24"/>
                <w:szCs w:val="24"/>
              </w:rPr>
              <w:t>2</w:t>
            </w:r>
            <w:r>
              <w:rPr>
                <w:rFonts w:hint="eastAsia"/>
                <w:color w:val="000000" w:themeColor="text1"/>
                <w:sz w:val="24"/>
                <w:szCs w:val="24"/>
              </w:rPr>
              <w:t>．投标人具有重庆教育后勤协会颁发的有效的《社会企业经营高校学生食堂准入证书》（提供证书复印件并加盖鲜章，原件备查）；</w:t>
            </w:r>
          </w:p>
          <w:p>
            <w:pPr>
              <w:spacing w:line="400" w:lineRule="exact"/>
              <w:ind w:firstLine="360" w:firstLineChars="150"/>
              <w:jc w:val="left"/>
              <w:rPr>
                <w:color w:val="000000" w:themeColor="text1"/>
                <w:sz w:val="24"/>
                <w:szCs w:val="24"/>
              </w:rPr>
            </w:pPr>
            <w:r>
              <w:rPr>
                <w:color w:val="000000" w:themeColor="text1"/>
                <w:sz w:val="24"/>
                <w:szCs w:val="24"/>
              </w:rPr>
              <w:t>3</w:t>
            </w:r>
            <w:r>
              <w:rPr>
                <w:rFonts w:hint="eastAsia"/>
                <w:color w:val="000000" w:themeColor="text1"/>
                <w:sz w:val="24"/>
                <w:szCs w:val="24"/>
              </w:rPr>
              <w:t>．投标人需从事全日制普通本科高校食堂经营不少于</w:t>
            </w:r>
            <w:r>
              <w:rPr>
                <w:color w:val="000000" w:themeColor="text1"/>
                <w:sz w:val="24"/>
                <w:szCs w:val="24"/>
              </w:rPr>
              <w:t>3</w:t>
            </w:r>
            <w:r>
              <w:rPr>
                <w:rFonts w:hint="eastAsia"/>
                <w:color w:val="000000" w:themeColor="text1"/>
                <w:sz w:val="24"/>
                <w:szCs w:val="24"/>
              </w:rPr>
              <w:t>所，其中一所高校食堂经营时间不少于</w:t>
            </w:r>
            <w:r>
              <w:rPr>
                <w:color w:val="000000" w:themeColor="text1"/>
                <w:sz w:val="24"/>
                <w:szCs w:val="24"/>
              </w:rPr>
              <w:t>2</w:t>
            </w:r>
            <w:r>
              <w:rPr>
                <w:rFonts w:hint="eastAsia"/>
                <w:color w:val="000000" w:themeColor="text1"/>
                <w:sz w:val="24"/>
                <w:szCs w:val="24"/>
              </w:rPr>
              <w:t>年和经营总面积不少于</w:t>
            </w:r>
            <w:r>
              <w:rPr>
                <w:color w:val="000000" w:themeColor="text1"/>
                <w:sz w:val="24"/>
                <w:szCs w:val="24"/>
              </w:rPr>
              <w:t>3000</w:t>
            </w:r>
            <w:r>
              <w:rPr>
                <w:rFonts w:hint="eastAsia"/>
                <w:color w:val="000000" w:themeColor="text1"/>
                <w:sz w:val="24"/>
                <w:szCs w:val="24"/>
              </w:rPr>
              <w:t>平方米（提供合同复印件，原件备查）；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808" w:type="dxa"/>
            <w:vAlign w:val="center"/>
          </w:tcPr>
          <w:p>
            <w:pPr>
              <w:spacing w:line="460" w:lineRule="exact"/>
              <w:jc w:val="center"/>
              <w:rPr>
                <w:rFonts w:ascii="宋体" w:hAnsi="宋体"/>
                <w:color w:val="000000" w:themeColor="text1"/>
                <w:sz w:val="24"/>
                <w:szCs w:val="24"/>
              </w:rPr>
            </w:pPr>
            <w:r>
              <w:rPr>
                <w:rFonts w:ascii="宋体" w:hAnsi="宋体"/>
                <w:color w:val="000000" w:themeColor="text1"/>
                <w:sz w:val="24"/>
                <w:szCs w:val="24"/>
              </w:rPr>
              <w:t>3</w:t>
            </w:r>
          </w:p>
        </w:tc>
        <w:tc>
          <w:tcPr>
            <w:tcW w:w="3673" w:type="dxa"/>
            <w:gridSpan w:val="2"/>
            <w:vAlign w:val="center"/>
          </w:tcPr>
          <w:p>
            <w:pPr>
              <w:spacing w:line="460" w:lineRule="exact"/>
              <w:rPr>
                <w:rFonts w:ascii="宋体"/>
                <w:color w:val="000000" w:themeColor="text1"/>
                <w:sz w:val="24"/>
                <w:szCs w:val="24"/>
              </w:rPr>
            </w:pPr>
            <w:r>
              <w:rPr>
                <w:rFonts w:hint="eastAsia" w:ascii="宋体" w:hAnsi="宋体"/>
                <w:color w:val="000000" w:themeColor="text1"/>
                <w:sz w:val="24"/>
                <w:szCs w:val="24"/>
              </w:rPr>
              <w:t>投标保证金</w:t>
            </w:r>
          </w:p>
        </w:tc>
        <w:tc>
          <w:tcPr>
            <w:tcW w:w="4587" w:type="dxa"/>
            <w:vAlign w:val="center"/>
          </w:tcPr>
          <w:p>
            <w:pPr>
              <w:spacing w:line="460" w:lineRule="exact"/>
              <w:rPr>
                <w:rFonts w:ascii="宋体"/>
                <w:color w:val="000000" w:themeColor="text1"/>
                <w:sz w:val="24"/>
                <w:szCs w:val="24"/>
              </w:rPr>
            </w:pPr>
            <w:r>
              <w:rPr>
                <w:rFonts w:hint="eastAsia" w:ascii="宋体" w:hAnsi="宋体"/>
                <w:color w:val="000000" w:themeColor="text1"/>
                <w:sz w:val="24"/>
                <w:szCs w:val="24"/>
              </w:rPr>
              <w:t>符合本招标文件第一篇</w:t>
            </w:r>
            <w:r>
              <w:rPr>
                <w:rFonts w:hint="eastAsia" w:ascii="宋体" w:hAnsi="宋体" w:cs="FangSong_GB2312"/>
                <w:color w:val="000000" w:themeColor="text1"/>
                <w:sz w:val="24"/>
                <w:szCs w:val="24"/>
                <w:lang w:val="zh-CN"/>
              </w:rPr>
              <w:t>规定</w:t>
            </w:r>
          </w:p>
        </w:tc>
      </w:tr>
    </w:tbl>
    <w:p>
      <w:pPr>
        <w:snapToGrid w:val="0"/>
        <w:spacing w:line="400" w:lineRule="exact"/>
        <w:rPr>
          <w:rFonts w:ascii="宋体" w:cs="宋体"/>
          <w:color w:val="000000" w:themeColor="text1"/>
          <w:kern w:val="0"/>
          <w:sz w:val="24"/>
          <w:szCs w:val="24"/>
        </w:rPr>
      </w:pPr>
      <w:r>
        <w:rPr>
          <w:rFonts w:hint="eastAsia" w:ascii="宋体" w:hAnsi="宋体" w:cs="宋体"/>
          <w:color w:val="000000" w:themeColor="text1"/>
          <w:kern w:val="0"/>
          <w:sz w:val="24"/>
          <w:szCs w:val="24"/>
        </w:rPr>
        <w:t>注：投标人按“三证合一”登记制度办理营业执照的，组织机构代码证以投标人所提供的营业执照（副本）复印件为准。</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符合性检查。依据招标文件的规定，从投标人投标文件的有效性、完整性和对招标文件的响应程度进行审查，以确定是否对招标文件的实质性要求作出响应。资格性检查资料表如下：</w:t>
      </w:r>
    </w:p>
    <w:tbl>
      <w:tblPr>
        <w:tblStyle w:val="43"/>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61"/>
        <w:gridCol w:w="2335"/>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07" w:type="dxa"/>
            <w:vAlign w:val="center"/>
          </w:tcPr>
          <w:p>
            <w:pPr>
              <w:spacing w:line="460" w:lineRule="exact"/>
              <w:jc w:val="center"/>
              <w:rPr>
                <w:rFonts w:ascii="宋体" w:cs="宋体"/>
                <w:color w:val="000000" w:themeColor="text1"/>
                <w:kern w:val="0"/>
                <w:sz w:val="24"/>
                <w:szCs w:val="24"/>
              </w:rPr>
            </w:pPr>
            <w:r>
              <w:rPr>
                <w:rFonts w:hint="eastAsia" w:ascii="宋体" w:hAnsi="宋体" w:cs="宋体"/>
                <w:color w:val="000000" w:themeColor="text1"/>
                <w:kern w:val="0"/>
                <w:sz w:val="24"/>
                <w:szCs w:val="24"/>
              </w:rPr>
              <w:t>序号</w:t>
            </w:r>
          </w:p>
        </w:tc>
        <w:tc>
          <w:tcPr>
            <w:tcW w:w="3196" w:type="dxa"/>
            <w:gridSpan w:val="2"/>
            <w:vAlign w:val="center"/>
          </w:tcPr>
          <w:p>
            <w:pPr>
              <w:spacing w:line="460" w:lineRule="exact"/>
              <w:jc w:val="center"/>
              <w:rPr>
                <w:rFonts w:ascii="宋体" w:cs="宋体"/>
                <w:color w:val="000000" w:themeColor="text1"/>
                <w:kern w:val="0"/>
                <w:sz w:val="24"/>
                <w:szCs w:val="24"/>
              </w:rPr>
            </w:pPr>
            <w:r>
              <w:rPr>
                <w:rFonts w:hint="eastAsia" w:ascii="宋体" w:hAnsi="宋体" w:cs="宋体"/>
                <w:color w:val="000000" w:themeColor="text1"/>
                <w:kern w:val="0"/>
                <w:sz w:val="24"/>
                <w:szCs w:val="24"/>
              </w:rPr>
              <w:t>评审因素</w:t>
            </w:r>
          </w:p>
        </w:tc>
        <w:tc>
          <w:tcPr>
            <w:tcW w:w="5065" w:type="dxa"/>
            <w:vAlign w:val="center"/>
          </w:tcPr>
          <w:p>
            <w:pPr>
              <w:spacing w:line="460" w:lineRule="exact"/>
              <w:jc w:val="center"/>
              <w:rPr>
                <w:rFonts w:ascii="宋体" w:cs="宋体"/>
                <w:color w:val="000000" w:themeColor="text1"/>
                <w:kern w:val="0"/>
                <w:sz w:val="24"/>
                <w:szCs w:val="24"/>
              </w:rPr>
            </w:pPr>
            <w:r>
              <w:rPr>
                <w:rFonts w:hint="eastAsia" w:ascii="宋体" w:hAnsi="宋体" w:cs="宋体"/>
                <w:color w:val="000000" w:themeColor="text1"/>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07" w:type="dxa"/>
            <w:vMerge w:val="restart"/>
            <w:vAlign w:val="center"/>
          </w:tcPr>
          <w:p>
            <w:pPr>
              <w:spacing w:line="460" w:lineRule="exact"/>
              <w:jc w:val="center"/>
              <w:rPr>
                <w:rFonts w:ascii="宋体" w:hAnsi="宋体" w:cs="宋体"/>
                <w:color w:val="000000" w:themeColor="text1"/>
                <w:kern w:val="0"/>
                <w:sz w:val="24"/>
                <w:szCs w:val="24"/>
              </w:rPr>
            </w:pPr>
            <w:r>
              <w:rPr>
                <w:rFonts w:ascii="宋体" w:hAnsi="宋体" w:cs="宋体"/>
                <w:color w:val="000000" w:themeColor="text1"/>
                <w:kern w:val="0"/>
                <w:sz w:val="24"/>
                <w:szCs w:val="24"/>
              </w:rPr>
              <w:t>1</w:t>
            </w:r>
          </w:p>
        </w:tc>
        <w:tc>
          <w:tcPr>
            <w:tcW w:w="861" w:type="dxa"/>
            <w:vMerge w:val="restart"/>
            <w:vAlign w:val="center"/>
          </w:tcPr>
          <w:p>
            <w:pPr>
              <w:spacing w:line="460" w:lineRule="exact"/>
              <w:rPr>
                <w:rFonts w:ascii="宋体" w:cs="宋体"/>
                <w:color w:val="000000" w:themeColor="text1"/>
                <w:kern w:val="0"/>
                <w:sz w:val="24"/>
                <w:szCs w:val="24"/>
              </w:rPr>
            </w:pPr>
            <w:r>
              <w:rPr>
                <w:rFonts w:hint="eastAsia" w:ascii="宋体" w:hAnsi="宋体" w:cs="宋体"/>
                <w:color w:val="000000" w:themeColor="text1"/>
                <w:kern w:val="0"/>
                <w:sz w:val="24"/>
                <w:szCs w:val="24"/>
              </w:rPr>
              <w:t>有效性审查</w:t>
            </w:r>
          </w:p>
        </w:tc>
        <w:tc>
          <w:tcPr>
            <w:tcW w:w="2335" w:type="dxa"/>
            <w:vAlign w:val="center"/>
          </w:tcPr>
          <w:p>
            <w:pPr>
              <w:spacing w:line="460" w:lineRule="exact"/>
              <w:rPr>
                <w:rFonts w:ascii="宋体" w:cs="宋体"/>
                <w:color w:val="000000" w:themeColor="text1"/>
                <w:kern w:val="0"/>
                <w:sz w:val="24"/>
                <w:szCs w:val="24"/>
              </w:rPr>
            </w:pPr>
            <w:r>
              <w:rPr>
                <w:rFonts w:hint="eastAsia" w:ascii="宋体" w:hAnsi="宋体"/>
                <w:color w:val="000000" w:themeColor="text1"/>
                <w:sz w:val="24"/>
                <w:szCs w:val="24"/>
              </w:rPr>
              <w:t>投标文件签署</w:t>
            </w:r>
          </w:p>
        </w:tc>
        <w:tc>
          <w:tcPr>
            <w:tcW w:w="5065" w:type="dxa"/>
            <w:vAlign w:val="center"/>
          </w:tcPr>
          <w:p>
            <w:pPr>
              <w:spacing w:line="460" w:lineRule="exact"/>
              <w:rPr>
                <w:rFonts w:ascii="宋体" w:cs="宋体"/>
                <w:color w:val="000000" w:themeColor="text1"/>
                <w:kern w:val="0"/>
                <w:sz w:val="24"/>
                <w:szCs w:val="24"/>
              </w:rPr>
            </w:pPr>
            <w:r>
              <w:rPr>
                <w:rFonts w:hint="eastAsia" w:ascii="宋体" w:hAnsi="宋体"/>
                <w:color w:val="000000" w:themeColor="text1"/>
                <w:sz w:val="24"/>
                <w:szCs w:val="24"/>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07" w:type="dxa"/>
            <w:vMerge w:val="continue"/>
            <w:vAlign w:val="center"/>
          </w:tcPr>
          <w:p>
            <w:pPr>
              <w:spacing w:line="460" w:lineRule="exact"/>
              <w:jc w:val="center"/>
              <w:rPr>
                <w:rFonts w:ascii="宋体" w:cs="宋体"/>
                <w:color w:val="000000" w:themeColor="text1"/>
                <w:kern w:val="0"/>
                <w:sz w:val="24"/>
                <w:szCs w:val="24"/>
              </w:rPr>
            </w:pPr>
          </w:p>
        </w:tc>
        <w:tc>
          <w:tcPr>
            <w:tcW w:w="861" w:type="dxa"/>
            <w:vMerge w:val="continue"/>
            <w:vAlign w:val="center"/>
          </w:tcPr>
          <w:p>
            <w:pPr>
              <w:spacing w:line="460" w:lineRule="exact"/>
              <w:rPr>
                <w:rFonts w:ascii="宋体" w:cs="宋体"/>
                <w:color w:val="000000" w:themeColor="text1"/>
                <w:kern w:val="0"/>
                <w:sz w:val="24"/>
                <w:szCs w:val="24"/>
              </w:rPr>
            </w:pPr>
          </w:p>
        </w:tc>
        <w:tc>
          <w:tcPr>
            <w:tcW w:w="2335" w:type="dxa"/>
            <w:vAlign w:val="center"/>
          </w:tcPr>
          <w:p>
            <w:pPr>
              <w:spacing w:line="460" w:lineRule="exact"/>
              <w:rPr>
                <w:rFonts w:ascii="宋体"/>
                <w:color w:val="000000" w:themeColor="text1"/>
                <w:sz w:val="24"/>
                <w:szCs w:val="24"/>
              </w:rPr>
            </w:pPr>
            <w:r>
              <w:rPr>
                <w:rFonts w:hint="eastAsia" w:ascii="宋体" w:hAnsi="宋体"/>
                <w:color w:val="000000" w:themeColor="text1"/>
                <w:sz w:val="24"/>
                <w:szCs w:val="24"/>
              </w:rPr>
              <w:t>法定代表人身份证明及授权委托书</w:t>
            </w:r>
          </w:p>
        </w:tc>
        <w:tc>
          <w:tcPr>
            <w:tcW w:w="5065" w:type="dxa"/>
            <w:vAlign w:val="center"/>
          </w:tcPr>
          <w:p>
            <w:pPr>
              <w:spacing w:line="460" w:lineRule="exact"/>
              <w:rPr>
                <w:rFonts w:ascii="宋体"/>
                <w:color w:val="000000" w:themeColor="text1"/>
                <w:sz w:val="24"/>
                <w:szCs w:val="24"/>
              </w:rPr>
            </w:pPr>
            <w:r>
              <w:rPr>
                <w:rFonts w:hint="eastAsia" w:ascii="宋体" w:hAnsi="宋体"/>
                <w:color w:val="000000" w:themeColor="text1"/>
                <w:sz w:val="24"/>
                <w:szCs w:val="24"/>
              </w:rPr>
              <w:t>法定代表人身份证明及授权委托书有效，且符合招标文件规定的格式。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07" w:type="dxa"/>
            <w:vMerge w:val="continue"/>
            <w:vAlign w:val="center"/>
          </w:tcPr>
          <w:p>
            <w:pPr>
              <w:spacing w:line="460" w:lineRule="exact"/>
              <w:jc w:val="center"/>
              <w:rPr>
                <w:rFonts w:ascii="宋体" w:cs="宋体"/>
                <w:color w:val="000000" w:themeColor="text1"/>
                <w:kern w:val="0"/>
                <w:sz w:val="24"/>
                <w:szCs w:val="24"/>
              </w:rPr>
            </w:pPr>
          </w:p>
        </w:tc>
        <w:tc>
          <w:tcPr>
            <w:tcW w:w="861" w:type="dxa"/>
            <w:vMerge w:val="continue"/>
            <w:vAlign w:val="center"/>
          </w:tcPr>
          <w:p>
            <w:pPr>
              <w:spacing w:line="460" w:lineRule="exact"/>
              <w:rPr>
                <w:rFonts w:ascii="宋体" w:cs="宋体"/>
                <w:color w:val="000000" w:themeColor="text1"/>
                <w:kern w:val="0"/>
                <w:sz w:val="24"/>
                <w:szCs w:val="24"/>
              </w:rPr>
            </w:pPr>
          </w:p>
        </w:tc>
        <w:tc>
          <w:tcPr>
            <w:tcW w:w="2335" w:type="dxa"/>
            <w:vAlign w:val="center"/>
          </w:tcPr>
          <w:p>
            <w:pPr>
              <w:spacing w:line="460" w:lineRule="exact"/>
              <w:rPr>
                <w:rFonts w:ascii="宋体" w:cs="FangSong_GB2312"/>
                <w:color w:val="000000" w:themeColor="text1"/>
                <w:sz w:val="24"/>
                <w:szCs w:val="24"/>
                <w:lang w:val="zh-CN"/>
              </w:rPr>
            </w:pPr>
            <w:r>
              <w:rPr>
                <w:rFonts w:hint="eastAsia" w:ascii="宋体" w:hAnsi="宋体" w:cs="FangSong_GB2312"/>
                <w:color w:val="000000" w:themeColor="text1"/>
                <w:sz w:val="24"/>
                <w:szCs w:val="24"/>
                <w:lang w:val="zh-CN"/>
              </w:rPr>
              <w:t>投标方案</w:t>
            </w:r>
          </w:p>
        </w:tc>
        <w:tc>
          <w:tcPr>
            <w:tcW w:w="5065" w:type="dxa"/>
            <w:vAlign w:val="center"/>
          </w:tcPr>
          <w:p>
            <w:pPr>
              <w:spacing w:line="460" w:lineRule="exact"/>
              <w:rPr>
                <w:rFonts w:ascii="宋体" w:cs="宋体"/>
                <w:color w:val="000000" w:themeColor="text1"/>
                <w:kern w:val="0"/>
                <w:sz w:val="24"/>
                <w:szCs w:val="24"/>
              </w:rPr>
            </w:pPr>
            <w:r>
              <w:rPr>
                <w:rFonts w:hint="eastAsia" w:ascii="宋体" w:hAnsi="宋体"/>
                <w:color w:val="000000" w:themeColor="text1"/>
                <w:sz w:val="24"/>
                <w:szCs w:val="24"/>
              </w:rPr>
              <w:t>每个投标单位只能有一个方案。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07" w:type="dxa"/>
            <w:vMerge w:val="continue"/>
            <w:vAlign w:val="center"/>
          </w:tcPr>
          <w:p>
            <w:pPr>
              <w:spacing w:line="460" w:lineRule="exact"/>
              <w:jc w:val="center"/>
              <w:rPr>
                <w:rFonts w:ascii="宋体" w:cs="宋体"/>
                <w:color w:val="000000" w:themeColor="text1"/>
                <w:kern w:val="0"/>
                <w:sz w:val="24"/>
                <w:szCs w:val="24"/>
              </w:rPr>
            </w:pPr>
          </w:p>
        </w:tc>
        <w:tc>
          <w:tcPr>
            <w:tcW w:w="861" w:type="dxa"/>
            <w:vMerge w:val="continue"/>
            <w:vAlign w:val="center"/>
          </w:tcPr>
          <w:p>
            <w:pPr>
              <w:spacing w:line="460" w:lineRule="exact"/>
              <w:rPr>
                <w:rFonts w:ascii="宋体" w:cs="宋体"/>
                <w:color w:val="000000" w:themeColor="text1"/>
                <w:kern w:val="0"/>
                <w:sz w:val="24"/>
                <w:szCs w:val="24"/>
              </w:rPr>
            </w:pPr>
          </w:p>
        </w:tc>
        <w:tc>
          <w:tcPr>
            <w:tcW w:w="2335" w:type="dxa"/>
            <w:vAlign w:val="center"/>
          </w:tcPr>
          <w:p>
            <w:pPr>
              <w:spacing w:line="460" w:lineRule="exact"/>
              <w:ind w:firstLine="360" w:firstLineChars="150"/>
              <w:rPr>
                <w:rFonts w:ascii="宋体" w:cs="FangSong_GB2312"/>
                <w:color w:val="000000" w:themeColor="text1"/>
                <w:sz w:val="24"/>
                <w:szCs w:val="24"/>
                <w:lang w:val="zh-CN"/>
              </w:rPr>
            </w:pPr>
            <w:r>
              <w:rPr>
                <w:rFonts w:hint="eastAsia" w:ascii="宋体" w:hAnsi="宋体"/>
                <w:color w:val="000000" w:themeColor="text1"/>
                <w:sz w:val="24"/>
                <w:szCs w:val="24"/>
              </w:rPr>
              <w:t>报 价 唯 一</w:t>
            </w:r>
          </w:p>
        </w:tc>
        <w:tc>
          <w:tcPr>
            <w:tcW w:w="5065" w:type="dxa"/>
            <w:vAlign w:val="center"/>
          </w:tcPr>
          <w:p>
            <w:pPr>
              <w:snapToGrid w:val="0"/>
              <w:spacing w:line="400" w:lineRule="exact"/>
              <w:rPr>
                <w:rFonts w:ascii="宋体"/>
                <w:color w:val="000000" w:themeColor="text1"/>
                <w:sz w:val="24"/>
                <w:szCs w:val="24"/>
              </w:rPr>
            </w:pPr>
            <w:r>
              <w:rPr>
                <w:rFonts w:hint="eastAsia" w:ascii="宋体" w:hAnsi="宋体" w:cs="FangSong_GB2312"/>
                <w:color w:val="000000" w:themeColor="text1"/>
                <w:sz w:val="24"/>
                <w:szCs w:val="24"/>
                <w:lang w:val="zh-CN"/>
              </w:rPr>
              <w:t>只能在限价以上报价，</w:t>
            </w:r>
            <w:r>
              <w:rPr>
                <w:rFonts w:hint="eastAsia" w:ascii="宋体" w:hAnsi="宋体"/>
                <w:color w:val="000000" w:themeColor="text1"/>
                <w:sz w:val="24"/>
                <w:szCs w:val="24"/>
              </w:rPr>
              <w:t>只能有一个有效报价，不得提交选择性报价。</w:t>
            </w:r>
          </w:p>
          <w:p>
            <w:pPr>
              <w:snapToGrid w:val="0"/>
              <w:spacing w:line="400" w:lineRule="exact"/>
              <w:rPr>
                <w:rFonts w:asci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.开标一览表总价与投标报价明细表汇总数不一致的，</w:t>
            </w:r>
            <w:r>
              <w:rPr>
                <w:rFonts w:hint="eastAsia" w:ascii="宋体" w:hAnsi="宋体" w:cs="Arial"/>
                <w:color w:val="000000" w:themeColor="text1"/>
                <w:kern w:val="0"/>
                <w:sz w:val="24"/>
                <w:szCs w:val="24"/>
              </w:rPr>
              <w:t>以开标一览表为准；</w:t>
            </w:r>
          </w:p>
          <w:p>
            <w:pPr>
              <w:pStyle w:val="22"/>
              <w:spacing w:line="400" w:lineRule="exact"/>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.投标文件的大写金额和小写金额不一致的，以大写金额为准；</w:t>
            </w:r>
          </w:p>
          <w:p>
            <w:pPr>
              <w:pStyle w:val="22"/>
              <w:spacing w:line="400" w:lineRule="exact"/>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.总价金额与按单价汇总金额不一致的，以单价金额计算结果为准；</w:t>
            </w:r>
          </w:p>
          <w:p>
            <w:pPr>
              <w:pStyle w:val="22"/>
              <w:spacing w:line="400" w:lineRule="exact"/>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.单价金额小数点有明显错位的，应以总价为准，并修正单价；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07" w:type="dxa"/>
            <w:vMerge w:val="continue"/>
            <w:vAlign w:val="center"/>
          </w:tcPr>
          <w:p>
            <w:pPr>
              <w:spacing w:line="460" w:lineRule="exact"/>
              <w:jc w:val="center"/>
              <w:rPr>
                <w:rFonts w:ascii="宋体" w:cs="宋体"/>
                <w:color w:val="000000" w:themeColor="text1"/>
                <w:kern w:val="0"/>
                <w:sz w:val="24"/>
                <w:szCs w:val="24"/>
              </w:rPr>
            </w:pPr>
          </w:p>
        </w:tc>
        <w:tc>
          <w:tcPr>
            <w:tcW w:w="861" w:type="dxa"/>
            <w:vMerge w:val="continue"/>
            <w:vAlign w:val="center"/>
          </w:tcPr>
          <w:p>
            <w:pPr>
              <w:spacing w:line="460" w:lineRule="exact"/>
              <w:rPr>
                <w:rFonts w:ascii="宋体" w:cs="宋体"/>
                <w:color w:val="000000" w:themeColor="text1"/>
                <w:kern w:val="0"/>
                <w:sz w:val="24"/>
                <w:szCs w:val="24"/>
              </w:rPr>
            </w:pPr>
          </w:p>
        </w:tc>
        <w:tc>
          <w:tcPr>
            <w:tcW w:w="2335" w:type="dxa"/>
            <w:vAlign w:val="center"/>
          </w:tcPr>
          <w:p>
            <w:pPr>
              <w:spacing w:line="460" w:lineRule="exact"/>
              <w:ind w:firstLine="240" w:firstLineChars="100"/>
              <w:rPr>
                <w:rFonts w:ascii="宋体"/>
                <w:color w:val="000000" w:themeColor="text1"/>
                <w:sz w:val="24"/>
                <w:szCs w:val="24"/>
              </w:rPr>
            </w:pPr>
            <w:r>
              <w:rPr>
                <w:rFonts w:hint="eastAsia" w:ascii="宋体" w:hAnsi="宋体"/>
                <w:color w:val="000000" w:themeColor="text1"/>
                <w:sz w:val="24"/>
                <w:szCs w:val="24"/>
              </w:rPr>
              <w:t>投标保证金</w:t>
            </w:r>
          </w:p>
        </w:tc>
        <w:tc>
          <w:tcPr>
            <w:tcW w:w="5065" w:type="dxa"/>
            <w:vAlign w:val="center"/>
          </w:tcPr>
          <w:p>
            <w:pPr>
              <w:spacing w:line="460" w:lineRule="exact"/>
              <w:rPr>
                <w:rFonts w:ascii="宋体" w:cs="FangSong_GB2312"/>
                <w:color w:val="000000" w:themeColor="text1"/>
                <w:sz w:val="24"/>
                <w:szCs w:val="24"/>
                <w:lang w:val="zh-CN"/>
              </w:rPr>
            </w:pPr>
            <w:r>
              <w:rPr>
                <w:rFonts w:hint="eastAsia" w:ascii="宋体" w:hAnsi="宋体" w:cs="FangSong_GB2312"/>
                <w:color w:val="000000" w:themeColor="text1"/>
                <w:sz w:val="24"/>
                <w:szCs w:val="24"/>
                <w:lang w:val="zh-CN"/>
              </w:rPr>
              <w:t>按时、足额缴纳投标保证金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07" w:type="dxa"/>
            <w:vMerge w:val="restart"/>
            <w:vAlign w:val="center"/>
          </w:tcPr>
          <w:p>
            <w:pPr>
              <w:spacing w:line="460" w:lineRule="exact"/>
              <w:jc w:val="center"/>
              <w:rPr>
                <w:rFonts w:ascii="宋体" w:hAnsi="宋体" w:cs="宋体"/>
                <w:color w:val="000000" w:themeColor="text1"/>
                <w:kern w:val="0"/>
                <w:sz w:val="24"/>
                <w:szCs w:val="24"/>
              </w:rPr>
            </w:pPr>
            <w:r>
              <w:rPr>
                <w:rFonts w:ascii="宋体" w:hAnsi="宋体" w:cs="宋体"/>
                <w:color w:val="000000" w:themeColor="text1"/>
                <w:kern w:val="0"/>
                <w:sz w:val="24"/>
                <w:szCs w:val="24"/>
              </w:rPr>
              <w:t>2</w:t>
            </w:r>
          </w:p>
        </w:tc>
        <w:tc>
          <w:tcPr>
            <w:tcW w:w="861" w:type="dxa"/>
            <w:vMerge w:val="restart"/>
            <w:vAlign w:val="center"/>
          </w:tcPr>
          <w:p>
            <w:pPr>
              <w:spacing w:line="460" w:lineRule="exact"/>
              <w:rPr>
                <w:rFonts w:ascii="宋体" w:cs="宋体"/>
                <w:color w:val="000000" w:themeColor="text1"/>
                <w:kern w:val="0"/>
                <w:sz w:val="24"/>
                <w:szCs w:val="24"/>
              </w:rPr>
            </w:pPr>
            <w:r>
              <w:rPr>
                <w:rFonts w:hint="eastAsia" w:ascii="宋体" w:hAnsi="宋体" w:cs="宋体"/>
                <w:color w:val="000000" w:themeColor="text1"/>
                <w:kern w:val="0"/>
                <w:sz w:val="24"/>
                <w:szCs w:val="24"/>
              </w:rPr>
              <w:t>完整性审查</w:t>
            </w:r>
          </w:p>
        </w:tc>
        <w:tc>
          <w:tcPr>
            <w:tcW w:w="2335" w:type="dxa"/>
            <w:vAlign w:val="center"/>
          </w:tcPr>
          <w:p>
            <w:pPr>
              <w:spacing w:line="460" w:lineRule="exact"/>
              <w:rPr>
                <w:rFonts w:ascii="宋体" w:cs="宋体"/>
                <w:color w:val="000000" w:themeColor="text1"/>
                <w:kern w:val="0"/>
                <w:sz w:val="24"/>
                <w:szCs w:val="24"/>
              </w:rPr>
            </w:pPr>
            <w:r>
              <w:rPr>
                <w:rFonts w:hint="eastAsia" w:ascii="宋体" w:hAnsi="宋体" w:cs="FangSong_GB2312"/>
                <w:color w:val="000000" w:themeColor="text1"/>
                <w:sz w:val="24"/>
                <w:szCs w:val="24"/>
                <w:lang w:val="zh-CN"/>
              </w:rPr>
              <w:t>投标文件份数</w:t>
            </w:r>
          </w:p>
        </w:tc>
        <w:tc>
          <w:tcPr>
            <w:tcW w:w="5065" w:type="dxa"/>
            <w:vAlign w:val="center"/>
          </w:tcPr>
          <w:p>
            <w:pPr>
              <w:spacing w:line="460" w:lineRule="exact"/>
              <w:rPr>
                <w:rFonts w:ascii="宋体" w:cs="宋体"/>
                <w:color w:val="000000" w:themeColor="text1"/>
                <w:kern w:val="0"/>
                <w:sz w:val="24"/>
                <w:szCs w:val="24"/>
              </w:rPr>
            </w:pPr>
            <w:r>
              <w:rPr>
                <w:rFonts w:hint="eastAsia" w:ascii="宋体" w:hAnsi="宋体" w:cs="FangSong_GB2312"/>
                <w:color w:val="000000" w:themeColor="text1"/>
                <w:sz w:val="24"/>
                <w:szCs w:val="24"/>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07" w:type="dxa"/>
            <w:vMerge w:val="continue"/>
            <w:vAlign w:val="center"/>
          </w:tcPr>
          <w:p>
            <w:pPr>
              <w:spacing w:line="460" w:lineRule="exact"/>
              <w:jc w:val="center"/>
              <w:rPr>
                <w:rFonts w:ascii="宋体" w:cs="宋体"/>
                <w:color w:val="000000" w:themeColor="text1"/>
                <w:kern w:val="0"/>
                <w:sz w:val="24"/>
                <w:szCs w:val="24"/>
              </w:rPr>
            </w:pPr>
          </w:p>
        </w:tc>
        <w:tc>
          <w:tcPr>
            <w:tcW w:w="861" w:type="dxa"/>
            <w:vMerge w:val="continue"/>
            <w:vAlign w:val="center"/>
          </w:tcPr>
          <w:p>
            <w:pPr>
              <w:spacing w:line="460" w:lineRule="exact"/>
              <w:rPr>
                <w:rFonts w:ascii="宋体" w:cs="宋体"/>
                <w:color w:val="000000" w:themeColor="text1"/>
                <w:kern w:val="0"/>
                <w:sz w:val="24"/>
                <w:szCs w:val="24"/>
              </w:rPr>
            </w:pPr>
          </w:p>
        </w:tc>
        <w:tc>
          <w:tcPr>
            <w:tcW w:w="2335" w:type="dxa"/>
            <w:vAlign w:val="center"/>
          </w:tcPr>
          <w:p>
            <w:pPr>
              <w:spacing w:line="460" w:lineRule="exact"/>
              <w:rPr>
                <w:rFonts w:ascii="宋体" w:cs="FangSong_GB2312"/>
                <w:color w:val="000000" w:themeColor="text1"/>
                <w:sz w:val="24"/>
                <w:szCs w:val="24"/>
                <w:lang w:val="zh-CN"/>
              </w:rPr>
            </w:pPr>
            <w:r>
              <w:rPr>
                <w:rFonts w:hint="eastAsia" w:ascii="宋体" w:hAnsi="宋体" w:cs="FangSong_GB2312"/>
                <w:color w:val="000000" w:themeColor="text1"/>
                <w:sz w:val="24"/>
                <w:szCs w:val="24"/>
                <w:lang w:val="zh-CN"/>
              </w:rPr>
              <w:t>投标文件内容</w:t>
            </w:r>
          </w:p>
        </w:tc>
        <w:tc>
          <w:tcPr>
            <w:tcW w:w="5065" w:type="dxa"/>
            <w:vAlign w:val="center"/>
          </w:tcPr>
          <w:p>
            <w:pPr>
              <w:spacing w:line="460" w:lineRule="exact"/>
              <w:rPr>
                <w:rFonts w:ascii="宋体" w:cs="FangSong_GB2312"/>
                <w:color w:val="000000" w:themeColor="text1"/>
                <w:sz w:val="24"/>
                <w:szCs w:val="24"/>
                <w:lang w:val="zh-CN"/>
              </w:rPr>
            </w:pPr>
            <w:r>
              <w:rPr>
                <w:rFonts w:hint="eastAsia" w:ascii="宋体" w:hAnsi="宋体" w:cs="FangSong_GB2312"/>
                <w:color w:val="000000" w:themeColor="text1"/>
                <w:sz w:val="24"/>
                <w:szCs w:val="24"/>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07" w:type="dxa"/>
            <w:vMerge w:val="restart"/>
            <w:vAlign w:val="center"/>
          </w:tcPr>
          <w:p>
            <w:pPr>
              <w:spacing w:line="460" w:lineRule="exact"/>
              <w:jc w:val="center"/>
              <w:rPr>
                <w:rFonts w:ascii="宋体" w:hAnsi="宋体" w:cs="宋体"/>
                <w:color w:val="000000" w:themeColor="text1"/>
                <w:kern w:val="0"/>
                <w:sz w:val="24"/>
                <w:szCs w:val="24"/>
              </w:rPr>
            </w:pPr>
            <w:r>
              <w:rPr>
                <w:rFonts w:ascii="宋体" w:hAnsi="宋体" w:cs="宋体"/>
                <w:color w:val="000000" w:themeColor="text1"/>
                <w:kern w:val="0"/>
                <w:sz w:val="24"/>
                <w:szCs w:val="24"/>
              </w:rPr>
              <w:t>3</w:t>
            </w:r>
          </w:p>
        </w:tc>
        <w:tc>
          <w:tcPr>
            <w:tcW w:w="861" w:type="dxa"/>
            <w:vMerge w:val="restart"/>
            <w:vAlign w:val="center"/>
          </w:tcPr>
          <w:p>
            <w:pPr>
              <w:spacing w:line="460" w:lineRule="exact"/>
              <w:rPr>
                <w:rFonts w:ascii="宋体" w:cs="FangSong_GB2312"/>
                <w:color w:val="000000" w:themeColor="text1"/>
                <w:szCs w:val="21"/>
                <w:lang w:val="zh-CN"/>
              </w:rPr>
            </w:pPr>
            <w:r>
              <w:rPr>
                <w:rFonts w:hint="eastAsia" w:ascii="宋体" w:hAnsi="宋体" w:cs="宋体"/>
                <w:color w:val="000000" w:themeColor="text1"/>
                <w:kern w:val="0"/>
                <w:szCs w:val="21"/>
              </w:rPr>
              <w:t>招标文件的响应程度审查</w:t>
            </w:r>
          </w:p>
        </w:tc>
        <w:tc>
          <w:tcPr>
            <w:tcW w:w="2335" w:type="dxa"/>
            <w:vAlign w:val="center"/>
          </w:tcPr>
          <w:p>
            <w:pPr>
              <w:spacing w:line="460" w:lineRule="exact"/>
              <w:rPr>
                <w:rFonts w:ascii="宋体" w:cs="宋体"/>
                <w:color w:val="000000" w:themeColor="text1"/>
                <w:kern w:val="0"/>
                <w:sz w:val="24"/>
                <w:szCs w:val="24"/>
              </w:rPr>
            </w:pPr>
            <w:r>
              <w:rPr>
                <w:rFonts w:hint="eastAsia" w:ascii="宋体" w:hAnsi="宋体" w:cs="宋体"/>
                <w:color w:val="000000" w:themeColor="text1"/>
                <w:kern w:val="0"/>
                <w:sz w:val="24"/>
                <w:szCs w:val="24"/>
              </w:rPr>
              <w:t>投标文件内容</w:t>
            </w:r>
          </w:p>
        </w:tc>
        <w:tc>
          <w:tcPr>
            <w:tcW w:w="5065" w:type="dxa"/>
            <w:vAlign w:val="center"/>
          </w:tcPr>
          <w:p>
            <w:pPr>
              <w:pStyle w:val="55"/>
              <w:spacing w:line="460" w:lineRule="exact"/>
              <w:rPr>
                <w:rFonts w:ascii="宋体" w:cs="宋体"/>
                <w:color w:val="000000" w:themeColor="text1"/>
                <w:kern w:val="0"/>
                <w:sz w:val="24"/>
                <w:szCs w:val="24"/>
              </w:rPr>
            </w:pPr>
            <w:r>
              <w:rPr>
                <w:rFonts w:hint="eastAsia" w:ascii="宋体" w:hAnsi="宋体" w:cs="宋体"/>
                <w:color w:val="000000" w:themeColor="text1"/>
                <w:kern w:val="0"/>
                <w:sz w:val="24"/>
                <w:szCs w:val="24"/>
              </w:rPr>
              <w:t>对招标文件第一篇和第二篇规定的招标内容全部作出响应。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07" w:type="dxa"/>
            <w:vMerge w:val="continue"/>
            <w:vAlign w:val="center"/>
          </w:tcPr>
          <w:p>
            <w:pPr>
              <w:spacing w:line="460" w:lineRule="exact"/>
              <w:jc w:val="center"/>
              <w:rPr>
                <w:rFonts w:ascii="宋体" w:cs="宋体"/>
                <w:color w:val="000000" w:themeColor="text1"/>
                <w:kern w:val="0"/>
                <w:sz w:val="24"/>
                <w:szCs w:val="24"/>
              </w:rPr>
            </w:pPr>
          </w:p>
        </w:tc>
        <w:tc>
          <w:tcPr>
            <w:tcW w:w="861" w:type="dxa"/>
            <w:vMerge w:val="continue"/>
            <w:vAlign w:val="center"/>
          </w:tcPr>
          <w:p>
            <w:pPr>
              <w:spacing w:line="460" w:lineRule="exact"/>
              <w:rPr>
                <w:rFonts w:ascii="宋体" w:cs="宋体"/>
                <w:color w:val="000000" w:themeColor="text1"/>
                <w:kern w:val="0"/>
                <w:sz w:val="24"/>
                <w:szCs w:val="24"/>
              </w:rPr>
            </w:pPr>
          </w:p>
        </w:tc>
        <w:tc>
          <w:tcPr>
            <w:tcW w:w="2335" w:type="dxa"/>
            <w:vAlign w:val="center"/>
          </w:tcPr>
          <w:p>
            <w:pPr>
              <w:spacing w:line="460" w:lineRule="exact"/>
              <w:rPr>
                <w:rFonts w:ascii="宋体" w:cs="宋体"/>
                <w:color w:val="000000" w:themeColor="text1"/>
                <w:kern w:val="0"/>
                <w:sz w:val="24"/>
                <w:szCs w:val="24"/>
              </w:rPr>
            </w:pPr>
            <w:r>
              <w:rPr>
                <w:rFonts w:hint="eastAsia" w:ascii="宋体" w:hAnsi="宋体" w:cs="宋体"/>
                <w:color w:val="000000" w:themeColor="text1"/>
                <w:kern w:val="0"/>
                <w:sz w:val="24"/>
                <w:szCs w:val="24"/>
              </w:rPr>
              <w:t>完成期限</w:t>
            </w:r>
          </w:p>
        </w:tc>
        <w:tc>
          <w:tcPr>
            <w:tcW w:w="5065" w:type="dxa"/>
            <w:vAlign w:val="center"/>
          </w:tcPr>
          <w:p>
            <w:pPr>
              <w:spacing w:line="460" w:lineRule="exact"/>
              <w:rPr>
                <w:rFonts w:ascii="宋体" w:cs="宋体"/>
                <w:color w:val="000000" w:themeColor="text1"/>
                <w:kern w:val="0"/>
                <w:sz w:val="24"/>
                <w:szCs w:val="24"/>
              </w:rPr>
            </w:pPr>
            <w:r>
              <w:rPr>
                <w:rFonts w:hint="eastAsia" w:ascii="宋体" w:hAnsi="宋体" w:cs="宋体"/>
                <w:color w:val="000000" w:themeColor="text1"/>
                <w:kern w:val="0"/>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07" w:type="dxa"/>
            <w:vMerge w:val="continue"/>
            <w:vAlign w:val="center"/>
          </w:tcPr>
          <w:p>
            <w:pPr>
              <w:spacing w:line="460" w:lineRule="exact"/>
              <w:jc w:val="center"/>
              <w:rPr>
                <w:rFonts w:ascii="宋体" w:cs="宋体"/>
                <w:color w:val="000000" w:themeColor="text1"/>
                <w:kern w:val="0"/>
                <w:sz w:val="24"/>
                <w:szCs w:val="24"/>
              </w:rPr>
            </w:pPr>
          </w:p>
        </w:tc>
        <w:tc>
          <w:tcPr>
            <w:tcW w:w="861" w:type="dxa"/>
            <w:vMerge w:val="continue"/>
            <w:vAlign w:val="center"/>
          </w:tcPr>
          <w:p>
            <w:pPr>
              <w:spacing w:line="460" w:lineRule="exact"/>
              <w:rPr>
                <w:rFonts w:ascii="宋体" w:cs="FangSong_GB2312"/>
                <w:color w:val="000000" w:themeColor="text1"/>
                <w:sz w:val="24"/>
                <w:szCs w:val="24"/>
                <w:lang w:val="zh-CN"/>
              </w:rPr>
            </w:pPr>
          </w:p>
        </w:tc>
        <w:tc>
          <w:tcPr>
            <w:tcW w:w="2335" w:type="dxa"/>
            <w:vAlign w:val="center"/>
          </w:tcPr>
          <w:p>
            <w:pPr>
              <w:spacing w:line="460" w:lineRule="exact"/>
              <w:rPr>
                <w:rFonts w:ascii="宋体" w:cs="宋体"/>
                <w:color w:val="000000" w:themeColor="text1"/>
                <w:kern w:val="0"/>
                <w:sz w:val="24"/>
                <w:szCs w:val="24"/>
              </w:rPr>
            </w:pPr>
            <w:r>
              <w:rPr>
                <w:rFonts w:hint="eastAsia" w:ascii="宋体" w:hAnsi="宋体" w:cs="宋体"/>
                <w:color w:val="000000" w:themeColor="text1"/>
                <w:kern w:val="0"/>
                <w:sz w:val="24"/>
                <w:szCs w:val="24"/>
              </w:rPr>
              <w:t>投标有效期</w:t>
            </w:r>
          </w:p>
        </w:tc>
        <w:tc>
          <w:tcPr>
            <w:tcW w:w="5065" w:type="dxa"/>
            <w:vAlign w:val="center"/>
          </w:tcPr>
          <w:p>
            <w:pPr>
              <w:spacing w:line="460" w:lineRule="exact"/>
              <w:rPr>
                <w:rFonts w:ascii="宋体" w:cs="宋体"/>
                <w:color w:val="000000" w:themeColor="text1"/>
                <w:kern w:val="0"/>
                <w:sz w:val="24"/>
                <w:szCs w:val="24"/>
              </w:rPr>
            </w:pPr>
            <w:r>
              <w:rPr>
                <w:rFonts w:hint="eastAsia" w:ascii="宋体" w:hAnsi="宋体" w:cs="宋体"/>
                <w:color w:val="000000" w:themeColor="text1"/>
                <w:kern w:val="0"/>
                <w:sz w:val="24"/>
                <w:szCs w:val="24"/>
              </w:rPr>
              <w:t>满足招标文件</w:t>
            </w:r>
            <w:r>
              <w:rPr>
                <w:rFonts w:hint="eastAsia" w:ascii="宋体" w:hAnsi="宋体" w:cs="FangSong_GB2312"/>
                <w:color w:val="000000" w:themeColor="text1"/>
                <w:sz w:val="24"/>
                <w:szCs w:val="24"/>
                <w:lang w:val="zh-CN"/>
              </w:rPr>
              <w:t>规定。</w:t>
            </w:r>
          </w:p>
        </w:tc>
      </w:tr>
    </w:tbl>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澄清有关问题。对投标文件中含义不明确、同类问题表述不一致或者有明显文字和计算错误的内容，评标委员会可以要求投标人作出必要澄清、说明或者纠正。投标人的澄清、说明或者补正应当采用书面形式，由其授权的代表签字，并不得超出投标文件的范围或者改变投标文件的实质性内容。</w:t>
      </w:r>
    </w:p>
    <w:p>
      <w:pPr>
        <w:spacing w:line="400" w:lineRule="exact"/>
        <w:ind w:firstLine="480" w:firstLineChars="200"/>
        <w:jc w:val="left"/>
        <w:rPr>
          <w:color w:val="000000" w:themeColor="text1"/>
          <w:sz w:val="24"/>
          <w:szCs w:val="24"/>
        </w:rPr>
      </w:pPr>
      <w:r>
        <w:rPr>
          <w:color w:val="000000" w:themeColor="text1"/>
          <w:sz w:val="24"/>
          <w:szCs w:val="24"/>
        </w:rPr>
        <w:t>4.</w:t>
      </w:r>
      <w:r>
        <w:rPr>
          <w:rFonts w:hint="eastAsia"/>
          <w:color w:val="000000" w:themeColor="text1"/>
          <w:sz w:val="24"/>
          <w:szCs w:val="24"/>
        </w:rPr>
        <w:t>比较与评价。按招标文件中规定的评标方法和标准，对资格性检查和符合性检查合格的投标文件进行商务和技术评估，综合比较与评价。</w:t>
      </w:r>
    </w:p>
    <w:p>
      <w:pPr>
        <w:spacing w:line="400" w:lineRule="exact"/>
        <w:ind w:firstLine="480" w:firstLineChars="200"/>
        <w:jc w:val="left"/>
        <w:rPr>
          <w:color w:val="000000" w:themeColor="text1"/>
          <w:sz w:val="24"/>
          <w:szCs w:val="24"/>
        </w:rPr>
      </w:pPr>
      <w:r>
        <w:rPr>
          <w:rFonts w:hint="eastAsia"/>
          <w:color w:val="000000" w:themeColor="text1"/>
          <w:sz w:val="24"/>
          <w:szCs w:val="24"/>
        </w:rPr>
        <w:t>评标委员会各成员应当独立对每个有效投标人的标书进行评价、打分，然后由评审组长组织评标委员会成员对各评委打分情况进行核查及复核，个别评委对同一投标人同一评分项的打分偏离较大的，应对投标人的投标文件进行再次核对，确属打分有误的，应及时进行修正。</w:t>
      </w:r>
    </w:p>
    <w:p>
      <w:pPr>
        <w:spacing w:line="400" w:lineRule="exact"/>
        <w:ind w:firstLine="480" w:firstLineChars="200"/>
        <w:jc w:val="left"/>
        <w:rPr>
          <w:sz w:val="24"/>
          <w:szCs w:val="24"/>
        </w:rPr>
      </w:pPr>
      <w:r>
        <w:rPr>
          <w:color w:val="000000" w:themeColor="text1"/>
          <w:sz w:val="24"/>
          <w:szCs w:val="24"/>
        </w:rPr>
        <w:t>5.</w:t>
      </w:r>
      <w:r>
        <w:rPr>
          <w:rFonts w:hint="eastAsia"/>
          <w:color w:val="000000" w:themeColor="text1"/>
          <w:sz w:val="24"/>
          <w:szCs w:val="24"/>
        </w:rPr>
        <w:t>推荐中标候选单位名单。中标候选单位应当根据招标需要确定，但必须按顺序排列中标候选单位。按评审后得分由高到低顺序排列，得分相同的，</w:t>
      </w:r>
      <w:r>
        <w:rPr>
          <w:rFonts w:hint="eastAsia"/>
          <w:sz w:val="24"/>
          <w:szCs w:val="24"/>
        </w:rPr>
        <w:t>按技术标报价得分由高到低顺序排列；如果技术标报价得分再相同，按经济标报价得分由高到低顺序排列。</w:t>
      </w:r>
    </w:p>
    <w:p>
      <w:pPr>
        <w:spacing w:line="400" w:lineRule="exact"/>
        <w:ind w:firstLine="480" w:firstLineChars="200"/>
        <w:jc w:val="left"/>
        <w:rPr>
          <w:color w:val="000000" w:themeColor="text1"/>
          <w:sz w:val="24"/>
          <w:szCs w:val="24"/>
        </w:rPr>
      </w:pPr>
      <w:r>
        <w:rPr>
          <w:color w:val="000000" w:themeColor="text1"/>
          <w:sz w:val="24"/>
          <w:szCs w:val="24"/>
        </w:rPr>
        <w:t>6.</w:t>
      </w:r>
      <w:r>
        <w:rPr>
          <w:rFonts w:hint="eastAsia"/>
          <w:color w:val="000000" w:themeColor="text1"/>
          <w:sz w:val="24"/>
          <w:szCs w:val="24"/>
        </w:rPr>
        <w:t>确定中标人的原则。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pStyle w:val="3"/>
        <w:spacing w:before="0" w:after="0"/>
        <w:ind w:firstLine="562" w:firstLineChars="200"/>
        <w:rPr>
          <w:color w:val="000000" w:themeColor="text1"/>
          <w:sz w:val="28"/>
          <w:szCs w:val="28"/>
        </w:rPr>
      </w:pPr>
      <w:bookmarkStart w:id="41" w:name="_Toc186919411"/>
      <w:bookmarkStart w:id="42" w:name="_Toc19224"/>
      <w:r>
        <w:rPr>
          <w:rFonts w:hint="eastAsia"/>
          <w:color w:val="000000" w:themeColor="text1"/>
          <w:sz w:val="28"/>
          <w:szCs w:val="28"/>
        </w:rPr>
        <w:t>二、评标标准</w:t>
      </w:r>
      <w:bookmarkEnd w:id="41"/>
      <w:bookmarkEnd w:id="42"/>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215"/>
        <w:gridCol w:w="1320"/>
        <w:gridCol w:w="5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Align w:val="center"/>
          </w:tcPr>
          <w:p>
            <w:pPr>
              <w:spacing w:line="400" w:lineRule="exact"/>
              <w:ind w:left="9" w:leftChars="-13" w:hanging="36" w:hangingChars="15"/>
              <w:jc w:val="center"/>
              <w:rPr>
                <w:rFonts w:ascii="宋体" w:hAnsi="宋体" w:cs="宋体"/>
                <w:b/>
                <w:bCs/>
                <w:sz w:val="24"/>
                <w:szCs w:val="24"/>
              </w:rPr>
            </w:pPr>
            <w:r>
              <w:rPr>
                <w:rFonts w:hint="eastAsia" w:ascii="宋体" w:hAnsi="宋体" w:cs="宋体"/>
                <w:b/>
                <w:bCs/>
                <w:sz w:val="24"/>
                <w:szCs w:val="24"/>
              </w:rPr>
              <w:t>评分</w:t>
            </w:r>
          </w:p>
          <w:p>
            <w:pPr>
              <w:jc w:val="center"/>
              <w:rPr>
                <w:rFonts w:ascii="宋体" w:hAnsi="宋体" w:cs="宋体"/>
                <w:b/>
                <w:bCs/>
                <w:sz w:val="24"/>
                <w:szCs w:val="24"/>
              </w:rPr>
            </w:pPr>
            <w:r>
              <w:rPr>
                <w:rFonts w:hint="eastAsia" w:ascii="宋体" w:hAnsi="宋体" w:cs="宋体"/>
                <w:b/>
                <w:bCs/>
                <w:sz w:val="24"/>
                <w:szCs w:val="24"/>
              </w:rPr>
              <w:t>项目</w:t>
            </w:r>
          </w:p>
        </w:tc>
        <w:tc>
          <w:tcPr>
            <w:tcW w:w="2535" w:type="dxa"/>
            <w:gridSpan w:val="2"/>
            <w:vAlign w:val="center"/>
          </w:tcPr>
          <w:p>
            <w:pPr>
              <w:jc w:val="center"/>
              <w:rPr>
                <w:rFonts w:ascii="宋体" w:hAnsi="宋体" w:cs="宋体"/>
                <w:b/>
                <w:bCs/>
                <w:sz w:val="24"/>
                <w:szCs w:val="24"/>
              </w:rPr>
            </w:pPr>
            <w:r>
              <w:rPr>
                <w:rFonts w:hint="eastAsia" w:ascii="宋体" w:hAnsi="宋体" w:cs="宋体"/>
                <w:b/>
                <w:bCs/>
                <w:sz w:val="24"/>
                <w:szCs w:val="24"/>
              </w:rPr>
              <w:t>评分说明</w:t>
            </w:r>
          </w:p>
        </w:tc>
        <w:tc>
          <w:tcPr>
            <w:tcW w:w="5704" w:type="dxa"/>
            <w:vAlign w:val="center"/>
          </w:tcPr>
          <w:p>
            <w:pPr>
              <w:jc w:val="center"/>
              <w:rPr>
                <w:rFonts w:ascii="宋体" w:hAnsi="宋体" w:cs="宋体"/>
                <w:b/>
                <w:bCs/>
                <w:sz w:val="24"/>
                <w:szCs w:val="24"/>
              </w:rPr>
            </w:pPr>
            <w:r>
              <w:rPr>
                <w:rFonts w:hint="eastAsia" w:ascii="宋体" w:hAnsi="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Merge w:val="restart"/>
            <w:vAlign w:val="center"/>
          </w:tcPr>
          <w:p>
            <w:pPr>
              <w:jc w:val="center"/>
              <w:rPr>
                <w:rFonts w:ascii="宋体" w:hAnsi="宋体"/>
                <w:b/>
                <w:bCs/>
                <w:sz w:val="24"/>
                <w:szCs w:val="24"/>
              </w:rPr>
            </w:pPr>
            <w:r>
              <w:rPr>
                <w:rFonts w:hint="eastAsia" w:ascii="宋体" w:hAnsi="宋体"/>
                <w:b/>
                <w:bCs/>
                <w:sz w:val="24"/>
                <w:szCs w:val="24"/>
              </w:rPr>
              <w:t>经济标（25%）</w:t>
            </w:r>
          </w:p>
          <w:p>
            <w:pPr>
              <w:jc w:val="center"/>
              <w:rPr>
                <w:rFonts w:ascii="宋体" w:hAnsi="宋体" w:cs="宋体"/>
                <w:b/>
                <w:bCs/>
                <w:sz w:val="24"/>
                <w:szCs w:val="24"/>
              </w:rPr>
            </w:pPr>
            <w:r>
              <w:rPr>
                <w:rFonts w:hint="eastAsia" w:ascii="宋体" w:hAnsi="宋体"/>
                <w:b/>
                <w:bCs/>
                <w:sz w:val="24"/>
                <w:szCs w:val="24"/>
              </w:rPr>
              <w:t>星号*条款不满足为0分</w:t>
            </w:r>
          </w:p>
        </w:tc>
        <w:tc>
          <w:tcPr>
            <w:tcW w:w="1215" w:type="dxa"/>
            <w:vMerge w:val="restart"/>
            <w:vAlign w:val="center"/>
          </w:tcPr>
          <w:p>
            <w:pPr>
              <w:spacing w:line="400" w:lineRule="exact"/>
              <w:ind w:left="9" w:leftChars="-13" w:hanging="36" w:hangingChars="15"/>
              <w:jc w:val="center"/>
              <w:rPr>
                <w:rFonts w:ascii="宋体" w:hAnsi="宋体" w:cs="宋体"/>
                <w:b/>
                <w:bCs/>
                <w:sz w:val="24"/>
                <w:szCs w:val="24"/>
              </w:rPr>
            </w:pPr>
            <w:r>
              <w:rPr>
                <w:rFonts w:hint="eastAsia" w:ascii="宋体" w:hAnsi="宋体" w:cs="宋体"/>
                <w:b/>
                <w:bCs/>
                <w:sz w:val="24"/>
                <w:szCs w:val="24"/>
              </w:rPr>
              <w:t>月管理费(8分)</w:t>
            </w:r>
          </w:p>
        </w:tc>
        <w:tc>
          <w:tcPr>
            <w:tcW w:w="1320" w:type="dxa"/>
            <w:vAlign w:val="center"/>
          </w:tcPr>
          <w:p>
            <w:pPr>
              <w:widowControl/>
              <w:jc w:val="center"/>
              <w:rPr>
                <w:rFonts w:ascii="宋体" w:hAnsi="宋体" w:cs="宋体"/>
                <w:b/>
                <w:bCs/>
                <w:sz w:val="24"/>
                <w:szCs w:val="24"/>
              </w:rPr>
            </w:pPr>
            <w:r>
              <w:rPr>
                <w:rFonts w:hint="eastAsia" w:ascii="宋体" w:hAnsi="宋体" w:cs="宋体"/>
                <w:b/>
                <w:bCs/>
                <w:sz w:val="24"/>
                <w:szCs w:val="24"/>
              </w:rPr>
              <w:t>评分基准</w:t>
            </w:r>
          </w:p>
        </w:tc>
        <w:tc>
          <w:tcPr>
            <w:tcW w:w="5704" w:type="dxa"/>
            <w:vAlign w:val="center"/>
          </w:tcPr>
          <w:p>
            <w:pPr>
              <w:spacing w:line="300" w:lineRule="exact"/>
              <w:rPr>
                <w:rFonts w:ascii="宋体" w:hAnsi="宋体" w:cs="宋体"/>
                <w:sz w:val="24"/>
                <w:szCs w:val="24"/>
              </w:rPr>
            </w:pPr>
            <w:r>
              <w:rPr>
                <w:rFonts w:hint="eastAsia" w:ascii="宋体" w:hAnsi="宋体" w:cs="宋体"/>
                <w:bCs/>
                <w:sz w:val="24"/>
                <w:szCs w:val="24"/>
              </w:rPr>
              <w:t>投标人承诺每月向学校缴纳管理费，以每月营业额百分比的报价方式确定（请在保障师生切身利益的前提下合理报价）。月管理费百分比报价为3%，基本分5分。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Merge w:val="continue"/>
            <w:vAlign w:val="center"/>
          </w:tcPr>
          <w:p>
            <w:pPr>
              <w:jc w:val="center"/>
              <w:rPr>
                <w:rFonts w:ascii="宋体" w:hAnsi="宋体" w:cs="宋体"/>
                <w:b/>
                <w:bCs/>
                <w:sz w:val="24"/>
                <w:szCs w:val="24"/>
              </w:rPr>
            </w:pPr>
          </w:p>
        </w:tc>
        <w:tc>
          <w:tcPr>
            <w:tcW w:w="1215" w:type="dxa"/>
            <w:vMerge w:val="continue"/>
            <w:vAlign w:val="center"/>
          </w:tcPr>
          <w:p>
            <w:pPr>
              <w:spacing w:line="400" w:lineRule="exact"/>
              <w:ind w:left="28" w:leftChars="-38" w:hanging="108" w:hangingChars="45"/>
              <w:jc w:val="center"/>
              <w:rPr>
                <w:rFonts w:ascii="宋体" w:hAnsi="宋体" w:cs="宋体"/>
                <w:b/>
                <w:bCs/>
                <w:sz w:val="24"/>
                <w:szCs w:val="24"/>
              </w:rPr>
            </w:pPr>
          </w:p>
        </w:tc>
        <w:tc>
          <w:tcPr>
            <w:tcW w:w="1320" w:type="dxa"/>
            <w:vAlign w:val="center"/>
          </w:tcPr>
          <w:p>
            <w:pPr>
              <w:widowControl/>
              <w:jc w:val="center"/>
              <w:rPr>
                <w:rFonts w:ascii="宋体" w:hAnsi="宋体" w:cs="宋体"/>
                <w:b/>
                <w:bCs/>
                <w:sz w:val="24"/>
                <w:szCs w:val="24"/>
              </w:rPr>
            </w:pPr>
            <w:r>
              <w:rPr>
                <w:rFonts w:hint="eastAsia" w:ascii="宋体" w:hAnsi="宋体" w:cs="宋体"/>
                <w:b/>
                <w:bCs/>
                <w:sz w:val="24"/>
                <w:szCs w:val="24"/>
              </w:rPr>
              <w:t>评分方式</w:t>
            </w:r>
          </w:p>
        </w:tc>
        <w:tc>
          <w:tcPr>
            <w:tcW w:w="5704" w:type="dxa"/>
            <w:vAlign w:val="center"/>
          </w:tcPr>
          <w:p>
            <w:pPr>
              <w:spacing w:line="300" w:lineRule="exact"/>
              <w:rPr>
                <w:rFonts w:ascii="宋体" w:hAnsi="宋体" w:cs="宋体"/>
                <w:sz w:val="24"/>
                <w:szCs w:val="24"/>
              </w:rPr>
            </w:pPr>
            <w:r>
              <w:rPr>
                <w:rFonts w:hint="eastAsia" w:ascii="宋体" w:hAnsi="宋体" w:cs="宋体"/>
                <w:bCs/>
                <w:sz w:val="24"/>
                <w:szCs w:val="24"/>
              </w:rPr>
              <w:t>报价百分比与3%相比较，每增加0.5%，加0.5分，最高加3分。报价低于3%者，该项不计分。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Merge w:val="continue"/>
            <w:vAlign w:val="center"/>
          </w:tcPr>
          <w:p>
            <w:pPr>
              <w:jc w:val="center"/>
              <w:rPr>
                <w:rFonts w:ascii="宋体" w:hAnsi="宋体" w:cs="宋体"/>
                <w:b/>
                <w:bCs/>
                <w:sz w:val="24"/>
                <w:szCs w:val="24"/>
              </w:rPr>
            </w:pPr>
          </w:p>
        </w:tc>
        <w:tc>
          <w:tcPr>
            <w:tcW w:w="1215" w:type="dxa"/>
            <w:vMerge w:val="restart"/>
            <w:vAlign w:val="center"/>
          </w:tcPr>
          <w:p>
            <w:pPr>
              <w:spacing w:line="400" w:lineRule="exact"/>
              <w:ind w:left="9" w:leftChars="-13" w:hanging="36" w:hangingChars="15"/>
              <w:jc w:val="center"/>
              <w:rPr>
                <w:rFonts w:ascii="宋体" w:hAnsi="宋体" w:cs="宋体"/>
                <w:b/>
                <w:bCs/>
                <w:sz w:val="24"/>
                <w:szCs w:val="24"/>
              </w:rPr>
            </w:pPr>
            <w:r>
              <w:rPr>
                <w:rFonts w:hint="eastAsia" w:ascii="宋体" w:hAnsi="宋体" w:cs="宋体"/>
                <w:b/>
                <w:bCs/>
                <w:sz w:val="24"/>
                <w:szCs w:val="24"/>
              </w:rPr>
              <w:t>年保底费</w:t>
            </w:r>
          </w:p>
          <w:p>
            <w:pPr>
              <w:spacing w:line="400" w:lineRule="exact"/>
              <w:ind w:left="9" w:leftChars="-13" w:hanging="36" w:hangingChars="15"/>
              <w:jc w:val="center"/>
              <w:rPr>
                <w:rFonts w:ascii="宋体" w:hAnsi="宋体" w:cs="宋体"/>
                <w:b/>
                <w:bCs/>
                <w:sz w:val="24"/>
                <w:szCs w:val="24"/>
              </w:rPr>
            </w:pPr>
            <w:r>
              <w:rPr>
                <w:rFonts w:hint="eastAsia" w:ascii="宋体" w:hAnsi="宋体" w:cs="宋体"/>
                <w:b/>
                <w:bCs/>
                <w:sz w:val="24"/>
                <w:szCs w:val="24"/>
              </w:rPr>
              <w:t>（8分）</w:t>
            </w:r>
          </w:p>
        </w:tc>
        <w:tc>
          <w:tcPr>
            <w:tcW w:w="1320" w:type="dxa"/>
            <w:vAlign w:val="center"/>
          </w:tcPr>
          <w:p>
            <w:pPr>
              <w:spacing w:line="400" w:lineRule="exact"/>
              <w:ind w:left="9" w:leftChars="-13" w:hanging="36" w:hangingChars="15"/>
              <w:jc w:val="center"/>
              <w:rPr>
                <w:rFonts w:ascii="宋体" w:hAnsi="宋体" w:cs="宋体"/>
                <w:b/>
                <w:bCs/>
                <w:sz w:val="24"/>
                <w:szCs w:val="24"/>
              </w:rPr>
            </w:pPr>
            <w:r>
              <w:rPr>
                <w:rFonts w:hint="eastAsia" w:ascii="宋体" w:hAnsi="宋体" w:cs="宋体"/>
                <w:b/>
                <w:bCs/>
                <w:sz w:val="24"/>
                <w:szCs w:val="24"/>
              </w:rPr>
              <w:t>评分基准</w:t>
            </w:r>
          </w:p>
        </w:tc>
        <w:tc>
          <w:tcPr>
            <w:tcW w:w="5704" w:type="dxa"/>
            <w:vAlign w:val="center"/>
          </w:tcPr>
          <w:p>
            <w:pPr>
              <w:spacing w:line="300" w:lineRule="exact"/>
              <w:rPr>
                <w:rFonts w:ascii="宋体" w:hAnsi="宋体" w:cs="宋体"/>
                <w:sz w:val="24"/>
                <w:szCs w:val="24"/>
              </w:rPr>
            </w:pPr>
            <w:r>
              <w:rPr>
                <w:rFonts w:hint="eastAsia" w:ascii="宋体" w:hAnsi="宋体" w:cs="宋体"/>
                <w:bCs/>
                <w:sz w:val="24"/>
                <w:szCs w:val="24"/>
              </w:rPr>
              <w:t>投标人在科学评估年营业额的基础上，报出向学校承诺的年保底管理费金额（每年的月管理费累计低于年保底管理费的，乙方须另行补足）。年保底费报价100万，基本分5分。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Merge w:val="continue"/>
            <w:vAlign w:val="center"/>
          </w:tcPr>
          <w:p>
            <w:pPr>
              <w:jc w:val="center"/>
              <w:rPr>
                <w:rFonts w:ascii="宋体" w:hAnsi="宋体" w:cs="宋体"/>
                <w:b/>
                <w:bCs/>
                <w:sz w:val="24"/>
                <w:szCs w:val="24"/>
              </w:rPr>
            </w:pPr>
          </w:p>
        </w:tc>
        <w:tc>
          <w:tcPr>
            <w:tcW w:w="1215" w:type="dxa"/>
            <w:vMerge w:val="continue"/>
            <w:vAlign w:val="center"/>
          </w:tcPr>
          <w:p>
            <w:pPr>
              <w:spacing w:line="400" w:lineRule="exact"/>
              <w:ind w:left="9" w:leftChars="-13" w:hanging="36" w:hangingChars="15"/>
              <w:jc w:val="center"/>
              <w:rPr>
                <w:rFonts w:ascii="宋体" w:hAnsi="宋体" w:cs="宋体"/>
                <w:b/>
                <w:bCs/>
                <w:sz w:val="24"/>
                <w:szCs w:val="24"/>
              </w:rPr>
            </w:pPr>
          </w:p>
        </w:tc>
        <w:tc>
          <w:tcPr>
            <w:tcW w:w="1320" w:type="dxa"/>
            <w:vAlign w:val="center"/>
          </w:tcPr>
          <w:p>
            <w:pPr>
              <w:spacing w:line="400" w:lineRule="exact"/>
              <w:ind w:left="9" w:leftChars="-13" w:hanging="36" w:hangingChars="15"/>
              <w:jc w:val="center"/>
              <w:rPr>
                <w:rFonts w:ascii="宋体" w:hAnsi="宋体" w:cs="宋体"/>
                <w:b/>
                <w:bCs/>
                <w:sz w:val="24"/>
                <w:szCs w:val="24"/>
              </w:rPr>
            </w:pPr>
            <w:r>
              <w:rPr>
                <w:rFonts w:hint="eastAsia" w:ascii="宋体" w:hAnsi="宋体" w:cs="宋体"/>
                <w:b/>
                <w:bCs/>
                <w:sz w:val="24"/>
                <w:szCs w:val="24"/>
              </w:rPr>
              <w:t>评分方式</w:t>
            </w:r>
          </w:p>
        </w:tc>
        <w:tc>
          <w:tcPr>
            <w:tcW w:w="5704" w:type="dxa"/>
            <w:vAlign w:val="center"/>
          </w:tcPr>
          <w:p>
            <w:pPr>
              <w:spacing w:line="300" w:lineRule="exact"/>
              <w:rPr>
                <w:rFonts w:ascii="宋体" w:hAnsi="宋体" w:cs="宋体"/>
                <w:sz w:val="24"/>
                <w:szCs w:val="24"/>
              </w:rPr>
            </w:pPr>
            <w:r>
              <w:rPr>
                <w:rFonts w:hint="eastAsia" w:ascii="宋体" w:hAnsi="宋体" w:cs="宋体"/>
                <w:bCs/>
                <w:sz w:val="24"/>
                <w:szCs w:val="24"/>
              </w:rPr>
              <w:t>报价与100万元相比较，每增加5万元，加0.5分，最多加3分；低于100万元，该项不计分。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Merge w:val="continue"/>
            <w:vAlign w:val="center"/>
          </w:tcPr>
          <w:p>
            <w:pPr>
              <w:jc w:val="center"/>
              <w:rPr>
                <w:rFonts w:ascii="宋体" w:hAnsi="宋体" w:cs="宋体"/>
                <w:b/>
                <w:bCs/>
                <w:sz w:val="24"/>
                <w:szCs w:val="24"/>
              </w:rPr>
            </w:pPr>
          </w:p>
        </w:tc>
        <w:tc>
          <w:tcPr>
            <w:tcW w:w="1215" w:type="dxa"/>
            <w:vMerge w:val="restart"/>
            <w:vAlign w:val="center"/>
          </w:tcPr>
          <w:p>
            <w:pPr>
              <w:spacing w:line="400" w:lineRule="exact"/>
              <w:ind w:left="28" w:leftChars="-38" w:hanging="108" w:hangingChars="45"/>
              <w:jc w:val="center"/>
              <w:rPr>
                <w:rFonts w:ascii="宋体" w:hAnsi="宋体" w:cs="宋体"/>
                <w:b/>
                <w:bCs/>
                <w:sz w:val="24"/>
                <w:szCs w:val="24"/>
              </w:rPr>
            </w:pPr>
            <w:r>
              <w:rPr>
                <w:rFonts w:hint="eastAsia" w:ascii="宋体" w:hAnsi="宋体" w:cs="宋体"/>
                <w:b/>
                <w:bCs/>
                <w:sz w:val="24"/>
                <w:szCs w:val="24"/>
              </w:rPr>
              <w:t>首期投资</w:t>
            </w:r>
          </w:p>
          <w:p>
            <w:pPr>
              <w:spacing w:line="400" w:lineRule="exact"/>
              <w:ind w:left="28" w:leftChars="-38" w:hanging="108" w:hangingChars="45"/>
              <w:jc w:val="center"/>
              <w:rPr>
                <w:rFonts w:ascii="宋体" w:hAnsi="宋体" w:cs="宋体"/>
                <w:b/>
                <w:bCs/>
                <w:sz w:val="24"/>
                <w:szCs w:val="24"/>
              </w:rPr>
            </w:pPr>
            <w:r>
              <w:rPr>
                <w:rFonts w:hint="eastAsia" w:ascii="宋体" w:hAnsi="宋体" w:cs="宋体"/>
                <w:b/>
                <w:bCs/>
                <w:sz w:val="24"/>
                <w:szCs w:val="24"/>
              </w:rPr>
              <w:t>金额</w:t>
            </w:r>
          </w:p>
          <w:p>
            <w:pPr>
              <w:spacing w:line="400" w:lineRule="exact"/>
              <w:ind w:left="28" w:leftChars="-38" w:hanging="108" w:hangingChars="45"/>
              <w:jc w:val="center"/>
              <w:rPr>
                <w:rFonts w:ascii="宋体" w:hAnsi="宋体" w:cs="宋体"/>
                <w:b/>
                <w:bCs/>
                <w:sz w:val="24"/>
                <w:szCs w:val="24"/>
              </w:rPr>
            </w:pPr>
            <w:r>
              <w:rPr>
                <w:rFonts w:hint="eastAsia" w:ascii="宋体" w:hAnsi="宋体" w:cs="宋体"/>
                <w:b/>
                <w:bCs/>
                <w:sz w:val="24"/>
                <w:szCs w:val="24"/>
              </w:rPr>
              <w:t>（9分）</w:t>
            </w:r>
          </w:p>
        </w:tc>
        <w:tc>
          <w:tcPr>
            <w:tcW w:w="1320" w:type="dxa"/>
            <w:vAlign w:val="center"/>
          </w:tcPr>
          <w:p>
            <w:pPr>
              <w:jc w:val="center"/>
              <w:rPr>
                <w:rFonts w:ascii="宋体" w:hAnsi="宋体" w:cs="宋体"/>
                <w:b/>
                <w:bCs/>
                <w:sz w:val="24"/>
                <w:szCs w:val="24"/>
              </w:rPr>
            </w:pPr>
            <w:r>
              <w:rPr>
                <w:rFonts w:hint="eastAsia" w:ascii="宋体" w:hAnsi="宋体" w:cs="宋体"/>
                <w:b/>
                <w:bCs/>
                <w:sz w:val="24"/>
                <w:szCs w:val="24"/>
              </w:rPr>
              <w:t>评分基准</w:t>
            </w:r>
          </w:p>
        </w:tc>
        <w:tc>
          <w:tcPr>
            <w:tcW w:w="5704" w:type="dxa"/>
            <w:vAlign w:val="center"/>
          </w:tcPr>
          <w:p>
            <w:pPr>
              <w:spacing w:line="300" w:lineRule="exact"/>
              <w:rPr>
                <w:rFonts w:ascii="宋体" w:hAnsi="宋体" w:cs="宋体"/>
                <w:sz w:val="24"/>
                <w:szCs w:val="24"/>
              </w:rPr>
            </w:pPr>
            <w:r>
              <w:rPr>
                <w:rFonts w:hint="eastAsia" w:ascii="宋体" w:hAnsi="宋体" w:cs="宋体"/>
                <w:bCs/>
                <w:sz w:val="24"/>
                <w:szCs w:val="24"/>
              </w:rPr>
              <w:t>投标人向学校承诺首期投资金额，计算时间截止到正式开业时。首期投资金额600万元，基本分5分。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Merge w:val="continue"/>
            <w:vAlign w:val="center"/>
          </w:tcPr>
          <w:p>
            <w:pPr>
              <w:jc w:val="center"/>
              <w:rPr>
                <w:rFonts w:ascii="宋体" w:hAnsi="宋体" w:cs="宋体"/>
                <w:b/>
                <w:bCs/>
                <w:sz w:val="24"/>
                <w:szCs w:val="24"/>
              </w:rPr>
            </w:pPr>
          </w:p>
        </w:tc>
        <w:tc>
          <w:tcPr>
            <w:tcW w:w="1215" w:type="dxa"/>
            <w:vMerge w:val="continue"/>
            <w:vAlign w:val="center"/>
          </w:tcPr>
          <w:p>
            <w:pPr>
              <w:spacing w:line="400" w:lineRule="exact"/>
              <w:ind w:left="28" w:leftChars="-38" w:hanging="108" w:hangingChars="45"/>
              <w:jc w:val="center"/>
              <w:rPr>
                <w:rFonts w:ascii="宋体" w:hAnsi="宋体" w:cs="宋体"/>
                <w:b/>
                <w:bCs/>
                <w:sz w:val="24"/>
                <w:szCs w:val="24"/>
              </w:rPr>
            </w:pPr>
          </w:p>
        </w:tc>
        <w:tc>
          <w:tcPr>
            <w:tcW w:w="1320" w:type="dxa"/>
            <w:vAlign w:val="center"/>
          </w:tcPr>
          <w:p>
            <w:pPr>
              <w:jc w:val="center"/>
              <w:rPr>
                <w:rFonts w:ascii="宋体" w:hAnsi="宋体" w:cs="宋体"/>
                <w:b/>
                <w:bCs/>
                <w:sz w:val="24"/>
                <w:szCs w:val="24"/>
              </w:rPr>
            </w:pPr>
            <w:r>
              <w:rPr>
                <w:rFonts w:hint="eastAsia" w:ascii="宋体" w:hAnsi="宋体" w:cs="宋体"/>
                <w:b/>
                <w:bCs/>
                <w:sz w:val="24"/>
                <w:szCs w:val="24"/>
              </w:rPr>
              <w:t>评分方式</w:t>
            </w:r>
          </w:p>
        </w:tc>
        <w:tc>
          <w:tcPr>
            <w:tcW w:w="5704" w:type="dxa"/>
            <w:vAlign w:val="center"/>
          </w:tcPr>
          <w:p>
            <w:pPr>
              <w:spacing w:line="300" w:lineRule="exact"/>
              <w:rPr>
                <w:rFonts w:ascii="宋体" w:hAnsi="宋体" w:cs="宋体"/>
                <w:sz w:val="24"/>
                <w:szCs w:val="24"/>
              </w:rPr>
            </w:pPr>
            <w:r>
              <w:rPr>
                <w:rFonts w:hint="eastAsia" w:ascii="宋体" w:hAnsi="宋体" w:cs="宋体"/>
                <w:bCs/>
                <w:sz w:val="24"/>
                <w:szCs w:val="24"/>
              </w:rPr>
              <w:t>报价与600万元相比较，每增加25万元，加0.5分，最多加4分。低于600万元，该项不计分。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Align w:val="center"/>
          </w:tcPr>
          <w:p>
            <w:pPr>
              <w:jc w:val="center"/>
              <w:rPr>
                <w:rFonts w:ascii="Times New Roman" w:hAnsi="Times New Roman"/>
              </w:rPr>
            </w:pPr>
            <w:r>
              <w:rPr>
                <w:rFonts w:hint="eastAsia" w:ascii="宋体" w:hAnsi="宋体"/>
                <w:b/>
                <w:bCs/>
                <w:sz w:val="24"/>
                <w:szCs w:val="24"/>
              </w:rPr>
              <w:t>技术标（35%）</w:t>
            </w:r>
          </w:p>
        </w:tc>
        <w:tc>
          <w:tcPr>
            <w:tcW w:w="1215" w:type="dxa"/>
            <w:vAlign w:val="center"/>
          </w:tcPr>
          <w:p>
            <w:pPr>
              <w:spacing w:line="400" w:lineRule="exact"/>
              <w:ind w:left="28" w:leftChars="-38" w:hanging="108" w:hangingChars="45"/>
              <w:jc w:val="center"/>
              <w:rPr>
                <w:rFonts w:ascii="宋体" w:hAnsi="宋体"/>
                <w:b/>
                <w:bCs/>
                <w:sz w:val="24"/>
                <w:szCs w:val="24"/>
              </w:rPr>
            </w:pPr>
            <w:r>
              <w:rPr>
                <w:rFonts w:hint="eastAsia" w:ascii="宋体" w:hAnsi="宋体"/>
                <w:b/>
                <w:bCs/>
                <w:sz w:val="24"/>
                <w:szCs w:val="24"/>
              </w:rPr>
              <w:t>技术标</w:t>
            </w:r>
          </w:p>
          <w:p>
            <w:pPr>
              <w:spacing w:line="400" w:lineRule="exact"/>
              <w:ind w:left="28" w:leftChars="-38" w:hanging="108" w:hangingChars="45"/>
              <w:jc w:val="center"/>
              <w:rPr>
                <w:rFonts w:ascii="宋体" w:hAnsi="宋体"/>
                <w:b/>
                <w:bCs/>
                <w:sz w:val="24"/>
                <w:szCs w:val="24"/>
              </w:rPr>
            </w:pPr>
            <w:r>
              <w:rPr>
                <w:rFonts w:hint="eastAsia" w:ascii="宋体" w:hAnsi="宋体"/>
                <w:b/>
                <w:bCs/>
                <w:sz w:val="24"/>
                <w:szCs w:val="24"/>
              </w:rPr>
              <w:t>得分</w:t>
            </w:r>
          </w:p>
          <w:p>
            <w:pPr>
              <w:jc w:val="center"/>
              <w:rPr>
                <w:rFonts w:ascii="Times New Roman" w:hAnsi="Times New Roman"/>
              </w:rPr>
            </w:pPr>
            <w:r>
              <w:rPr>
                <w:rFonts w:hint="eastAsia" w:ascii="宋体" w:hAnsi="宋体"/>
                <w:b/>
                <w:bCs/>
                <w:sz w:val="24"/>
                <w:szCs w:val="24"/>
              </w:rPr>
              <w:t>(35分)</w:t>
            </w:r>
          </w:p>
        </w:tc>
        <w:tc>
          <w:tcPr>
            <w:tcW w:w="7024" w:type="dxa"/>
            <w:gridSpan w:val="2"/>
          </w:tcPr>
          <w:p>
            <w:pPr>
              <w:spacing w:afterLines="50"/>
              <w:ind w:firstLine="482" w:firstLineChars="200"/>
              <w:rPr>
                <w:rFonts w:ascii="宋体" w:hAnsi="宋体" w:cs="宋体"/>
                <w:b/>
                <w:sz w:val="24"/>
                <w:szCs w:val="24"/>
              </w:rPr>
            </w:pPr>
            <w:r>
              <w:rPr>
                <w:rFonts w:hint="eastAsia" w:ascii="宋体" w:hAnsi="宋体" w:cs="宋体"/>
                <w:b/>
                <w:sz w:val="24"/>
                <w:szCs w:val="24"/>
              </w:rPr>
              <w:t>一、本项目管理机构设置及人员配备（5分）</w:t>
            </w:r>
          </w:p>
          <w:p>
            <w:pPr>
              <w:ind w:firstLine="480" w:firstLineChars="200"/>
              <w:rPr>
                <w:rFonts w:ascii="宋体" w:hAnsi="宋体" w:cs="宋体"/>
                <w:bCs/>
                <w:sz w:val="24"/>
                <w:szCs w:val="24"/>
              </w:rPr>
            </w:pPr>
            <w:r>
              <w:rPr>
                <w:rFonts w:hint="eastAsia" w:ascii="宋体" w:hAnsi="宋体" w:cs="宋体"/>
                <w:bCs/>
                <w:sz w:val="24"/>
                <w:szCs w:val="24"/>
              </w:rPr>
              <w:t>（一）管理机构设置情况（2分）</w:t>
            </w:r>
          </w:p>
          <w:p>
            <w:pPr>
              <w:ind w:firstLine="480" w:firstLineChars="200"/>
              <w:rPr>
                <w:rFonts w:ascii="宋体" w:hAnsi="宋体" w:cs="宋体"/>
                <w:bCs/>
                <w:sz w:val="24"/>
                <w:szCs w:val="24"/>
              </w:rPr>
            </w:pPr>
            <w:r>
              <w:rPr>
                <w:rFonts w:hint="eastAsia" w:ascii="宋体" w:hAnsi="宋体" w:cs="宋体"/>
                <w:bCs/>
                <w:sz w:val="24"/>
                <w:szCs w:val="24"/>
              </w:rPr>
              <w:t>1.管理机构设置合理、人员配置充足。优得1分，良得0.5分，差或一般不计分。</w:t>
            </w:r>
          </w:p>
          <w:p>
            <w:pPr>
              <w:ind w:firstLine="480" w:firstLineChars="200"/>
              <w:rPr>
                <w:rFonts w:ascii="宋体" w:hAnsi="宋体" w:cs="宋体"/>
                <w:bCs/>
                <w:sz w:val="24"/>
                <w:szCs w:val="24"/>
              </w:rPr>
            </w:pPr>
            <w:r>
              <w:rPr>
                <w:rFonts w:hint="eastAsia" w:ascii="宋体" w:hAnsi="宋体" w:cs="宋体"/>
                <w:bCs/>
                <w:sz w:val="24"/>
                <w:szCs w:val="24"/>
              </w:rPr>
              <w:t>2.管理制度健全完整、方案切实可行。优得1分，良得0.5分，差或一般不计分。</w:t>
            </w:r>
          </w:p>
          <w:p>
            <w:pPr>
              <w:ind w:firstLine="480" w:firstLineChars="200"/>
              <w:rPr>
                <w:rFonts w:ascii="宋体" w:hAnsi="宋体" w:cs="宋体"/>
                <w:bCs/>
                <w:sz w:val="24"/>
                <w:szCs w:val="24"/>
              </w:rPr>
            </w:pPr>
            <w:r>
              <w:rPr>
                <w:rFonts w:hint="eastAsia" w:ascii="宋体" w:hAnsi="宋体" w:cs="宋体"/>
                <w:bCs/>
                <w:sz w:val="24"/>
                <w:szCs w:val="24"/>
              </w:rPr>
              <w:t>（二）管理团队素质及经验（3分）</w:t>
            </w:r>
          </w:p>
          <w:p>
            <w:pPr>
              <w:ind w:firstLine="480" w:firstLineChars="200"/>
              <w:rPr>
                <w:rFonts w:ascii="宋体" w:hAnsi="宋体" w:cs="宋体"/>
                <w:bCs/>
                <w:sz w:val="24"/>
                <w:szCs w:val="24"/>
              </w:rPr>
            </w:pPr>
            <w:r>
              <w:rPr>
                <w:rFonts w:hint="eastAsia" w:ascii="宋体" w:hAnsi="宋体" w:cs="宋体"/>
                <w:bCs/>
                <w:sz w:val="24"/>
                <w:szCs w:val="24"/>
              </w:rPr>
              <w:t>1.拟任该项目负责人具有高中以上学历、高校类似项目三年及以上餐饮管理与服务经验得0.5分；具有大专以上学历、高校类似项目三年及以上餐饮管理与服务经验得1分。</w:t>
            </w:r>
          </w:p>
          <w:p>
            <w:pPr>
              <w:ind w:firstLine="480" w:firstLineChars="200"/>
              <w:rPr>
                <w:rFonts w:ascii="宋体" w:hAnsi="宋体" w:cs="宋体"/>
                <w:bCs/>
                <w:sz w:val="24"/>
                <w:szCs w:val="24"/>
              </w:rPr>
            </w:pPr>
            <w:r>
              <w:rPr>
                <w:rFonts w:hint="eastAsia" w:ascii="宋体" w:hAnsi="宋体" w:cs="宋体"/>
                <w:bCs/>
                <w:sz w:val="24"/>
                <w:szCs w:val="24"/>
              </w:rPr>
              <w:t>2.本项目配备持有食品药品监督部门分发证书的食品安全管理员（提供复印件，原件备查）得1分。</w:t>
            </w:r>
          </w:p>
          <w:p>
            <w:pPr>
              <w:ind w:firstLine="480" w:firstLineChars="200"/>
              <w:rPr>
                <w:rFonts w:ascii="宋体" w:hAnsi="宋体" w:cs="宋体"/>
                <w:bCs/>
                <w:sz w:val="24"/>
                <w:szCs w:val="24"/>
              </w:rPr>
            </w:pPr>
            <w:r>
              <w:rPr>
                <w:rFonts w:hint="eastAsia" w:ascii="宋体" w:hAnsi="宋体" w:cs="宋体"/>
                <w:bCs/>
                <w:sz w:val="24"/>
                <w:szCs w:val="24"/>
              </w:rPr>
              <w:t>3.本项目配备具有一级厨师证书的厨师0.2分/名，二级厨师证书的厨师0.1分/名最高得1分。</w:t>
            </w:r>
          </w:p>
          <w:p>
            <w:pPr>
              <w:spacing w:afterLines="50"/>
              <w:ind w:firstLine="482" w:firstLineChars="200"/>
              <w:rPr>
                <w:rFonts w:ascii="宋体" w:hAnsi="宋体" w:cs="宋体"/>
                <w:b/>
                <w:sz w:val="24"/>
                <w:szCs w:val="24"/>
              </w:rPr>
            </w:pPr>
            <w:r>
              <w:rPr>
                <w:rFonts w:hint="eastAsia" w:ascii="宋体" w:hAnsi="宋体" w:cs="宋体"/>
                <w:b/>
                <w:sz w:val="24"/>
                <w:szCs w:val="24"/>
              </w:rPr>
              <w:t>二、本项目的员工聘用及福利保障机制（2分）</w:t>
            </w:r>
          </w:p>
          <w:p>
            <w:pPr>
              <w:ind w:firstLine="480" w:firstLineChars="200"/>
              <w:rPr>
                <w:rFonts w:ascii="宋体" w:hAnsi="宋体" w:cs="宋体"/>
                <w:bCs/>
                <w:sz w:val="24"/>
                <w:szCs w:val="24"/>
              </w:rPr>
            </w:pPr>
            <w:r>
              <w:rPr>
                <w:rFonts w:hint="eastAsia" w:ascii="宋体" w:hAnsi="宋体" w:cs="宋体"/>
                <w:bCs/>
                <w:sz w:val="24"/>
                <w:szCs w:val="24"/>
              </w:rPr>
              <w:t>1.员工的招募、培训、聘用、教育培养方案切实可行。优得1分，良得0.5分，差或一般不计分。</w:t>
            </w:r>
          </w:p>
          <w:p>
            <w:pPr>
              <w:ind w:firstLine="480" w:firstLineChars="200"/>
              <w:rPr>
                <w:rFonts w:ascii="Times New Roman" w:hAnsi="Times New Roman"/>
              </w:rPr>
            </w:pPr>
            <w:r>
              <w:rPr>
                <w:rFonts w:hint="eastAsia" w:ascii="宋体" w:hAnsi="宋体" w:cs="宋体"/>
                <w:bCs/>
                <w:sz w:val="24"/>
                <w:szCs w:val="24"/>
              </w:rPr>
              <w:t>2.员工的薪酬待遇、保险缴纳、奖惩考核机制合理。优得1分，良得0.5分，差或一般不计分。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Align w:val="center"/>
          </w:tcPr>
          <w:p>
            <w:pPr>
              <w:jc w:val="center"/>
              <w:rPr>
                <w:rFonts w:ascii="Times New Roman" w:hAnsi="Times New Roman"/>
              </w:rPr>
            </w:pPr>
            <w:r>
              <w:rPr>
                <w:rFonts w:hint="eastAsia" w:ascii="宋体" w:hAnsi="宋体"/>
                <w:b/>
                <w:bCs/>
                <w:sz w:val="24"/>
                <w:szCs w:val="24"/>
              </w:rPr>
              <w:t>技术标（35%）</w:t>
            </w:r>
          </w:p>
        </w:tc>
        <w:tc>
          <w:tcPr>
            <w:tcW w:w="1215" w:type="dxa"/>
            <w:vAlign w:val="center"/>
          </w:tcPr>
          <w:p>
            <w:pPr>
              <w:spacing w:line="400" w:lineRule="exact"/>
              <w:ind w:left="28" w:leftChars="-38" w:hanging="108" w:hangingChars="45"/>
              <w:jc w:val="center"/>
              <w:rPr>
                <w:rFonts w:ascii="宋体" w:hAnsi="宋体"/>
                <w:b/>
                <w:bCs/>
                <w:sz w:val="24"/>
                <w:szCs w:val="24"/>
              </w:rPr>
            </w:pPr>
            <w:r>
              <w:rPr>
                <w:rFonts w:hint="eastAsia" w:ascii="宋体" w:hAnsi="宋体"/>
                <w:b/>
                <w:bCs/>
                <w:sz w:val="24"/>
                <w:szCs w:val="24"/>
              </w:rPr>
              <w:t>技术标</w:t>
            </w:r>
          </w:p>
          <w:p>
            <w:pPr>
              <w:spacing w:line="400" w:lineRule="exact"/>
              <w:ind w:left="28" w:leftChars="-38" w:hanging="108" w:hangingChars="45"/>
              <w:jc w:val="center"/>
              <w:rPr>
                <w:rFonts w:ascii="宋体" w:hAnsi="宋体"/>
                <w:b/>
                <w:bCs/>
                <w:sz w:val="24"/>
                <w:szCs w:val="24"/>
              </w:rPr>
            </w:pPr>
            <w:r>
              <w:rPr>
                <w:rFonts w:hint="eastAsia" w:ascii="宋体" w:hAnsi="宋体"/>
                <w:b/>
                <w:bCs/>
                <w:sz w:val="24"/>
                <w:szCs w:val="24"/>
              </w:rPr>
              <w:t>得分</w:t>
            </w:r>
          </w:p>
          <w:p>
            <w:pPr>
              <w:jc w:val="center"/>
              <w:rPr>
                <w:rFonts w:ascii="Times New Roman" w:hAnsi="Times New Roman"/>
              </w:rPr>
            </w:pPr>
            <w:r>
              <w:rPr>
                <w:rFonts w:hint="eastAsia" w:ascii="宋体" w:hAnsi="宋体"/>
                <w:b/>
                <w:bCs/>
                <w:sz w:val="24"/>
                <w:szCs w:val="24"/>
              </w:rPr>
              <w:t>(35分)</w:t>
            </w:r>
          </w:p>
        </w:tc>
        <w:tc>
          <w:tcPr>
            <w:tcW w:w="7024" w:type="dxa"/>
            <w:gridSpan w:val="2"/>
          </w:tcPr>
          <w:p>
            <w:pPr>
              <w:numPr>
                <w:ilvl w:val="0"/>
                <w:numId w:val="13"/>
              </w:numPr>
              <w:ind w:firstLine="422" w:firstLineChars="175"/>
              <w:rPr>
                <w:rFonts w:ascii="宋体" w:hAnsi="宋体" w:cs="宋体"/>
                <w:b/>
                <w:sz w:val="24"/>
                <w:szCs w:val="24"/>
              </w:rPr>
            </w:pPr>
            <w:r>
              <w:rPr>
                <w:rFonts w:hint="eastAsia" w:ascii="宋体" w:hAnsi="宋体" w:cs="宋体"/>
                <w:b/>
                <w:sz w:val="24"/>
                <w:szCs w:val="24"/>
              </w:rPr>
              <w:t>本项目的质量保障措施及安全方案（4分）</w:t>
            </w:r>
          </w:p>
          <w:p>
            <w:pPr>
              <w:ind w:firstLine="420" w:firstLineChars="175"/>
              <w:rPr>
                <w:rFonts w:ascii="宋体" w:hAnsi="宋体" w:cs="宋体"/>
                <w:bCs/>
                <w:sz w:val="24"/>
                <w:szCs w:val="24"/>
              </w:rPr>
            </w:pPr>
            <w:r>
              <w:rPr>
                <w:rFonts w:hint="eastAsia" w:ascii="宋体" w:hAnsi="宋体" w:cs="宋体"/>
                <w:bCs/>
                <w:sz w:val="24"/>
                <w:szCs w:val="24"/>
              </w:rPr>
              <w:t>1.制定有切实可行的工作交接与进场方案。优得1分，良得0.5分，差或一般不计分。</w:t>
            </w:r>
          </w:p>
          <w:p>
            <w:pPr>
              <w:ind w:firstLine="420" w:firstLineChars="175"/>
              <w:rPr>
                <w:rFonts w:ascii="宋体" w:hAnsi="宋体" w:cs="宋体"/>
                <w:bCs/>
                <w:sz w:val="24"/>
                <w:szCs w:val="24"/>
              </w:rPr>
            </w:pPr>
            <w:r>
              <w:rPr>
                <w:rFonts w:hint="eastAsia" w:ascii="宋体" w:hAnsi="宋体" w:cs="宋体"/>
                <w:bCs/>
                <w:sz w:val="24"/>
                <w:szCs w:val="24"/>
              </w:rPr>
              <w:t>2.制定有科学合理的餐饮服务经营方案、质量保障措施与价格明价细则。优得1分，良得0.5分，差或一般不计分。</w:t>
            </w:r>
          </w:p>
          <w:p>
            <w:pPr>
              <w:ind w:firstLine="480" w:firstLineChars="200"/>
              <w:rPr>
                <w:rFonts w:ascii="宋体" w:hAnsi="宋体" w:cs="宋体"/>
                <w:bCs/>
                <w:sz w:val="24"/>
                <w:szCs w:val="24"/>
              </w:rPr>
            </w:pPr>
            <w:r>
              <w:rPr>
                <w:rFonts w:hint="eastAsia" w:ascii="宋体" w:hAnsi="宋体" w:cs="宋体"/>
                <w:bCs/>
                <w:sz w:val="24"/>
                <w:szCs w:val="24"/>
              </w:rPr>
              <w:t>3.制定有食品安全、卫生、防疫、消防、治安等方面的安全方案。优得1分，良得0.5分，差或一般不计分。</w:t>
            </w:r>
          </w:p>
          <w:p>
            <w:pPr>
              <w:ind w:firstLine="480" w:firstLineChars="200"/>
              <w:rPr>
                <w:rFonts w:ascii="宋体" w:hAnsi="宋体" w:cs="宋体"/>
                <w:bCs/>
                <w:sz w:val="24"/>
                <w:szCs w:val="24"/>
              </w:rPr>
            </w:pPr>
            <w:r>
              <w:rPr>
                <w:rFonts w:hint="eastAsia" w:ascii="宋体" w:hAnsi="宋体" w:cs="宋体"/>
                <w:bCs/>
                <w:sz w:val="24"/>
                <w:szCs w:val="24"/>
              </w:rPr>
              <w:t>4.有员工群体性事件、意外事故的处置方案，师生投诉建议、网络舆情的应对措施以及突发事件应急预案。优得1分，良得0.5分，差或一般不计分。</w:t>
            </w:r>
          </w:p>
          <w:p>
            <w:pPr>
              <w:ind w:firstLine="482" w:firstLineChars="200"/>
              <w:rPr>
                <w:rFonts w:ascii="宋体" w:hAnsi="宋体" w:cs="宋体"/>
                <w:b/>
                <w:sz w:val="24"/>
                <w:szCs w:val="24"/>
              </w:rPr>
            </w:pPr>
            <w:r>
              <w:rPr>
                <w:rFonts w:hint="eastAsia" w:ascii="宋体" w:hAnsi="宋体" w:cs="宋体"/>
                <w:b/>
                <w:sz w:val="24"/>
                <w:szCs w:val="24"/>
              </w:rPr>
              <w:t>四、本项目的设备投入情况（4分）</w:t>
            </w:r>
          </w:p>
          <w:p>
            <w:pPr>
              <w:ind w:firstLine="480" w:firstLineChars="200"/>
              <w:rPr>
                <w:rFonts w:ascii="宋体" w:hAnsi="宋体" w:cs="宋体"/>
                <w:bCs/>
                <w:sz w:val="24"/>
                <w:szCs w:val="24"/>
              </w:rPr>
            </w:pPr>
            <w:r>
              <w:rPr>
                <w:rFonts w:hint="eastAsia" w:ascii="宋体" w:hAnsi="宋体" w:cs="宋体"/>
                <w:bCs/>
                <w:sz w:val="24"/>
                <w:szCs w:val="24"/>
              </w:rPr>
              <w:t>1.提供拟投入本项目的餐厨设备设施清单、经费预算及设备维护措施。要求装备齐全、设施先进、易于操作。优得1分，良得0.5分，差或一般不计分。</w:t>
            </w:r>
          </w:p>
          <w:p>
            <w:pPr>
              <w:ind w:firstLine="480" w:firstLineChars="200"/>
              <w:rPr>
                <w:rFonts w:ascii="宋体" w:hAnsi="宋体" w:cs="宋体"/>
                <w:bCs/>
                <w:sz w:val="24"/>
                <w:szCs w:val="24"/>
              </w:rPr>
            </w:pPr>
            <w:r>
              <w:rPr>
                <w:rFonts w:hint="eastAsia" w:ascii="宋体" w:hAnsi="宋体" w:cs="宋体"/>
                <w:bCs/>
                <w:sz w:val="24"/>
                <w:szCs w:val="24"/>
              </w:rPr>
              <w:t>2.提供为本项目修建冻库，配置全自动清洗消毒一体洗碗机、配置蔬菜农药快速检测设备等现代化餐厨设备方案（附设备清单）。优得1分，良得0.5分，差或一般不计分。</w:t>
            </w:r>
          </w:p>
          <w:p>
            <w:pPr>
              <w:ind w:firstLine="480" w:firstLineChars="200"/>
              <w:rPr>
                <w:rFonts w:ascii="宋体" w:hAnsi="宋体" w:cs="宋体"/>
                <w:bCs/>
                <w:sz w:val="24"/>
                <w:szCs w:val="24"/>
              </w:rPr>
            </w:pPr>
            <w:r>
              <w:rPr>
                <w:rFonts w:hint="eastAsia" w:ascii="宋体" w:hAnsi="宋体" w:cs="宋体"/>
                <w:bCs/>
                <w:sz w:val="24"/>
                <w:szCs w:val="24"/>
              </w:rPr>
              <w:t>3.提供为本项目安装消防自动喷淋系统、烟感自动灭火系统、天燃气报警系统以及安装有汞齐灯油烟净化装置的抽排系统等现代化消防、安全、环保系统方案（附设备清单）。优得1分，良得0.5分，差或一般不计分。</w:t>
            </w:r>
          </w:p>
          <w:p>
            <w:pPr>
              <w:ind w:firstLine="480" w:firstLineChars="200"/>
              <w:rPr>
                <w:rFonts w:ascii="宋体" w:hAnsi="宋体" w:cs="宋体"/>
                <w:bCs/>
                <w:sz w:val="24"/>
                <w:szCs w:val="24"/>
              </w:rPr>
            </w:pPr>
            <w:r>
              <w:rPr>
                <w:rFonts w:hint="eastAsia" w:ascii="宋体" w:hAnsi="宋体" w:cs="宋体"/>
                <w:bCs/>
                <w:sz w:val="24"/>
                <w:szCs w:val="24"/>
              </w:rPr>
              <w:t>4.提供为本项目在食堂加工区、售卖区、就餐区等区域安装具备90天以上存储能力的高清视频监控系统设计方案（并附安装点位设计图）。要求视频监控系统的设计安装符合“视频厨房”、食品安全以及高校重点部位视频监控相关要求与规范，做到食堂高清视频监控无死角、无盲区、全覆盖。优得1分，良得0.5分，差或一般不计分。</w:t>
            </w:r>
          </w:p>
          <w:p>
            <w:pPr>
              <w:spacing w:afterLines="50"/>
              <w:ind w:firstLine="482" w:firstLineChars="200"/>
              <w:rPr>
                <w:rFonts w:ascii="宋体" w:hAnsi="宋体" w:cs="宋体"/>
                <w:b/>
                <w:sz w:val="24"/>
                <w:szCs w:val="24"/>
              </w:rPr>
            </w:pPr>
            <w:r>
              <w:rPr>
                <w:rFonts w:hint="eastAsia" w:ascii="宋体" w:hAnsi="宋体" w:cs="宋体"/>
                <w:b/>
                <w:sz w:val="24"/>
                <w:szCs w:val="24"/>
              </w:rPr>
              <w:t>五、食堂设计改造方案10分</w:t>
            </w:r>
          </w:p>
          <w:p>
            <w:pPr>
              <w:ind w:firstLine="480" w:firstLineChars="200"/>
              <w:rPr>
                <w:rFonts w:ascii="宋体" w:hAnsi="宋体" w:cs="宋体"/>
                <w:bCs/>
                <w:sz w:val="24"/>
                <w:szCs w:val="24"/>
              </w:rPr>
            </w:pPr>
            <w:r>
              <w:rPr>
                <w:rFonts w:hint="eastAsia" w:ascii="宋体" w:hAnsi="宋体" w:cs="宋体"/>
                <w:bCs/>
                <w:sz w:val="24"/>
                <w:szCs w:val="24"/>
              </w:rPr>
              <w:t>1.提供本项目的总体装修改造设计方案、经费预算和装修改造效果图。装修风格要体现学校内涵，符合校园文化，贴近学生视角，符合高校“标准化食堂”、“明厨亮灶”工程要求。优得2分，良得1分，一般得0.5分；</w:t>
            </w:r>
          </w:p>
          <w:p>
            <w:pPr>
              <w:ind w:firstLine="480" w:firstLineChars="200"/>
              <w:rPr>
                <w:rFonts w:ascii="宋体" w:hAnsi="宋体" w:cs="宋体"/>
                <w:bCs/>
                <w:sz w:val="24"/>
                <w:szCs w:val="24"/>
              </w:rPr>
            </w:pPr>
            <w:r>
              <w:rPr>
                <w:rFonts w:hint="eastAsia" w:ascii="宋体" w:hAnsi="宋体" w:cs="宋体"/>
                <w:bCs/>
                <w:sz w:val="24"/>
                <w:szCs w:val="24"/>
              </w:rPr>
              <w:t>2.提供融餐饮、自习、演讲、沙龙、聚会、娱乐、休闲于一体的新一代大学食堂（学生的第三空间）装修设计效果图及装修改造方案。优得2分，良得1分，一般得0.5分；</w:t>
            </w:r>
          </w:p>
          <w:p>
            <w:pPr>
              <w:ind w:firstLine="480" w:firstLineChars="200"/>
              <w:rPr>
                <w:rFonts w:ascii="宋体" w:hAnsi="宋体" w:cs="宋体"/>
                <w:bCs/>
                <w:sz w:val="24"/>
                <w:szCs w:val="24"/>
              </w:rPr>
            </w:pPr>
            <w:r>
              <w:rPr>
                <w:rFonts w:hint="eastAsia" w:ascii="宋体" w:hAnsi="宋体" w:cs="宋体"/>
                <w:bCs/>
                <w:sz w:val="24"/>
                <w:szCs w:val="24"/>
              </w:rPr>
              <w:t>3.提供本项目接待中心餐饮档口的设计效果图及装修改造方案。改造方案除保障教职工工作餐和公务接待餐（不少于三个包间，包含自助餐、中餐、西餐、咖啡等）外，还要满足团餐、特色餐、风味餐、餐叙交流卡座等满足师生较高端的消费场所需求。优得2分，良得1分，一般得0.5分；</w:t>
            </w:r>
          </w:p>
          <w:p>
            <w:pPr>
              <w:ind w:firstLine="480" w:firstLineChars="200"/>
              <w:rPr>
                <w:rFonts w:ascii="Times New Roman" w:hAnsi="Times New Roman"/>
              </w:rPr>
            </w:pPr>
            <w:r>
              <w:rPr>
                <w:rFonts w:hint="eastAsia" w:ascii="宋体" w:hAnsi="宋体" w:cs="宋体"/>
                <w:bCs/>
                <w:sz w:val="24"/>
                <w:szCs w:val="24"/>
              </w:rPr>
              <w:t>4.提供本项目的刷卡收费结算方式、餐饮+互联网、无线网络覆盖、一卡通充值窗口设置等方案。中标人须按照财经管理相关规定到学校相关部门办理申请审批手续。优得2分，良得1分，差或一般不计分；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Align w:val="center"/>
          </w:tcPr>
          <w:p>
            <w:pPr>
              <w:jc w:val="center"/>
              <w:rPr>
                <w:rFonts w:ascii="宋体" w:hAnsi="宋体" w:cs="宋体"/>
                <w:b/>
                <w:bCs/>
                <w:sz w:val="24"/>
                <w:szCs w:val="24"/>
              </w:rPr>
            </w:pPr>
            <w:r>
              <w:rPr>
                <w:rFonts w:hint="eastAsia" w:ascii="宋体" w:hAnsi="宋体"/>
                <w:b/>
                <w:bCs/>
                <w:sz w:val="24"/>
                <w:szCs w:val="24"/>
              </w:rPr>
              <w:t>技术标（35%）</w:t>
            </w:r>
          </w:p>
        </w:tc>
        <w:tc>
          <w:tcPr>
            <w:tcW w:w="1215" w:type="dxa"/>
            <w:vAlign w:val="center"/>
          </w:tcPr>
          <w:p>
            <w:pPr>
              <w:spacing w:line="400" w:lineRule="exact"/>
              <w:ind w:left="28" w:leftChars="-38" w:hanging="108" w:hangingChars="45"/>
              <w:jc w:val="center"/>
              <w:rPr>
                <w:rFonts w:ascii="宋体" w:hAnsi="宋体"/>
                <w:b/>
                <w:bCs/>
                <w:sz w:val="24"/>
                <w:szCs w:val="24"/>
              </w:rPr>
            </w:pPr>
            <w:r>
              <w:rPr>
                <w:rFonts w:hint="eastAsia" w:ascii="宋体" w:hAnsi="宋体"/>
                <w:b/>
                <w:bCs/>
                <w:sz w:val="24"/>
                <w:szCs w:val="24"/>
              </w:rPr>
              <w:t>技术标</w:t>
            </w:r>
          </w:p>
          <w:p>
            <w:pPr>
              <w:spacing w:line="400" w:lineRule="exact"/>
              <w:ind w:left="28" w:leftChars="-38" w:hanging="108" w:hangingChars="45"/>
              <w:jc w:val="center"/>
              <w:rPr>
                <w:rFonts w:ascii="宋体" w:hAnsi="宋体"/>
                <w:b/>
                <w:bCs/>
                <w:sz w:val="24"/>
                <w:szCs w:val="24"/>
              </w:rPr>
            </w:pPr>
            <w:r>
              <w:rPr>
                <w:rFonts w:hint="eastAsia" w:ascii="宋体" w:hAnsi="宋体"/>
                <w:b/>
                <w:bCs/>
                <w:sz w:val="24"/>
                <w:szCs w:val="24"/>
              </w:rPr>
              <w:t>得分</w:t>
            </w:r>
          </w:p>
          <w:p>
            <w:pPr>
              <w:jc w:val="center"/>
              <w:rPr>
                <w:rFonts w:ascii="宋体" w:hAnsi="宋体" w:cs="宋体"/>
                <w:sz w:val="24"/>
                <w:szCs w:val="24"/>
              </w:rPr>
            </w:pPr>
            <w:r>
              <w:rPr>
                <w:rFonts w:hint="eastAsia" w:ascii="宋体" w:hAnsi="宋体"/>
                <w:b/>
                <w:bCs/>
                <w:sz w:val="24"/>
                <w:szCs w:val="24"/>
              </w:rPr>
              <w:t>(35分)</w:t>
            </w:r>
          </w:p>
        </w:tc>
        <w:tc>
          <w:tcPr>
            <w:tcW w:w="7024" w:type="dxa"/>
            <w:gridSpan w:val="2"/>
          </w:tcPr>
          <w:p>
            <w:pPr>
              <w:ind w:firstLine="480" w:firstLineChars="200"/>
              <w:rPr>
                <w:rFonts w:ascii="宋体" w:hAnsi="宋体" w:cs="宋体"/>
                <w:bCs/>
                <w:sz w:val="24"/>
                <w:szCs w:val="24"/>
              </w:rPr>
            </w:pPr>
            <w:r>
              <w:rPr>
                <w:rFonts w:hint="eastAsia" w:ascii="宋体" w:hAnsi="宋体" w:cs="宋体"/>
                <w:bCs/>
                <w:sz w:val="24"/>
                <w:szCs w:val="24"/>
              </w:rPr>
              <w:t>5.提供本项目贴近学生学习、生活的灯光开启和空调开放方案。要求满足学生自习、演讲、沙龙、聚会等活动的灯光开启应与学校作息时间同步，夏天室外温度高于28度，应当开启冷空调，冬天室外温度低于8度时，应开启暖空调。优得2分，良得1分，一般得0.5分。</w:t>
            </w:r>
          </w:p>
          <w:p>
            <w:pPr>
              <w:spacing w:afterLines="50"/>
              <w:ind w:firstLine="482" w:firstLineChars="200"/>
              <w:rPr>
                <w:rFonts w:ascii="宋体" w:hAnsi="宋体" w:cs="宋体"/>
                <w:b/>
                <w:sz w:val="24"/>
                <w:szCs w:val="24"/>
              </w:rPr>
            </w:pPr>
            <w:r>
              <w:rPr>
                <w:rFonts w:hint="eastAsia" w:ascii="宋体" w:hAnsi="宋体" w:cs="宋体"/>
                <w:b/>
                <w:sz w:val="24"/>
                <w:szCs w:val="24"/>
              </w:rPr>
              <w:t>六、食堂的经营方案10分</w:t>
            </w:r>
          </w:p>
          <w:p>
            <w:pPr>
              <w:ind w:firstLine="480" w:firstLineChars="200"/>
              <w:rPr>
                <w:rFonts w:ascii="宋体" w:hAnsi="宋体" w:cs="宋体"/>
                <w:bCs/>
                <w:sz w:val="24"/>
                <w:szCs w:val="24"/>
              </w:rPr>
            </w:pPr>
            <w:r>
              <w:rPr>
                <w:rFonts w:hint="eastAsia" w:ascii="宋体" w:hAnsi="宋体" w:cs="宋体"/>
                <w:bCs/>
                <w:sz w:val="24"/>
                <w:szCs w:val="24"/>
              </w:rPr>
              <w:t>1.提供本项目的大众餐经营方案。要求菜品丰富、品种齐全、价格合理，其中应包括不低于２０%的平价菜档口（平价菜价格不高于重庆市教育后勤协会指导价）。优得2分，良得1分，一般得0.5分；</w:t>
            </w:r>
          </w:p>
          <w:p>
            <w:pPr>
              <w:ind w:firstLine="480" w:firstLineChars="200"/>
              <w:rPr>
                <w:rFonts w:ascii="宋体" w:hAnsi="宋体" w:cs="宋体"/>
                <w:bCs/>
                <w:sz w:val="24"/>
                <w:szCs w:val="24"/>
              </w:rPr>
            </w:pPr>
            <w:r>
              <w:rPr>
                <w:rFonts w:hint="eastAsia" w:ascii="宋体" w:hAnsi="宋体" w:cs="宋体"/>
                <w:bCs/>
                <w:sz w:val="24"/>
                <w:szCs w:val="24"/>
              </w:rPr>
              <w:t>2.提供本项目的特色风味餐经营方案。要求特色分明、风味独特、品质较高，档口设置不低于20个，如有战略合作伙伴需在方案中予以说明。优得2分，良得1分，一般得0.5分；</w:t>
            </w:r>
          </w:p>
          <w:p>
            <w:pPr>
              <w:ind w:firstLine="480" w:firstLineChars="200"/>
              <w:rPr>
                <w:rFonts w:ascii="宋体" w:hAnsi="宋体" w:cs="宋体"/>
                <w:bCs/>
                <w:sz w:val="24"/>
                <w:szCs w:val="24"/>
              </w:rPr>
            </w:pPr>
            <w:r>
              <w:rPr>
                <w:rFonts w:hint="eastAsia" w:ascii="宋体" w:hAnsi="宋体" w:cs="宋体"/>
                <w:bCs/>
                <w:sz w:val="24"/>
                <w:szCs w:val="24"/>
              </w:rPr>
              <w:t>3.提供本项目单独设立的清真餐档口1个。要求档口和就餐区独立设置（必须符合政府和管理部门的规范和要求、执行教育后勤协会的指导价)。优得2分，良得1分，一般得0.5分；</w:t>
            </w:r>
          </w:p>
          <w:p>
            <w:pPr>
              <w:ind w:firstLine="480" w:firstLineChars="200"/>
              <w:rPr>
                <w:rFonts w:ascii="宋体" w:hAnsi="宋体" w:cs="宋体"/>
                <w:bCs/>
                <w:sz w:val="24"/>
                <w:szCs w:val="24"/>
              </w:rPr>
            </w:pPr>
            <w:r>
              <w:rPr>
                <w:rFonts w:hint="eastAsia" w:ascii="宋体" w:hAnsi="宋体" w:cs="宋体"/>
                <w:bCs/>
                <w:sz w:val="24"/>
                <w:szCs w:val="24"/>
              </w:rPr>
              <w:t>4.提供本项目的教职工工作餐经营方案。营养丰富、菜品多样、搭配合理，价格不高于重庆市教育后勤协会指导价。优得2分，良得1分，一般得0.5分。</w:t>
            </w:r>
          </w:p>
          <w:p>
            <w:pPr>
              <w:ind w:firstLine="480" w:firstLineChars="200"/>
              <w:rPr>
                <w:rFonts w:ascii="宋体" w:hAnsi="宋体" w:cs="宋体"/>
                <w:sz w:val="24"/>
                <w:szCs w:val="24"/>
              </w:rPr>
            </w:pPr>
            <w:r>
              <w:rPr>
                <w:rFonts w:hint="eastAsia" w:ascii="宋体" w:hAnsi="宋体" w:cs="宋体"/>
                <w:bCs/>
                <w:sz w:val="24"/>
                <w:szCs w:val="24"/>
              </w:rPr>
              <w:t>5.提供本项目的公务接待经营方案。要求对桌餐、团餐、自助餐、餐叙交流、卡座等有明确规划，接待标准须符合公务接待的相关要求，并接受学校相关部门的监督指导，提供正式餐饮发票。优得2分，良得1分，一般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 w:type="dxa"/>
            <w:vAlign w:val="center"/>
          </w:tcPr>
          <w:p>
            <w:pPr>
              <w:ind w:firstLine="28"/>
              <w:jc w:val="center"/>
              <w:rPr>
                <w:rFonts w:ascii="宋体" w:hAnsi="宋体" w:cs="宋体"/>
                <w:b/>
                <w:bCs/>
                <w:sz w:val="24"/>
                <w:szCs w:val="24"/>
              </w:rPr>
            </w:pPr>
            <w:r>
              <w:rPr>
                <w:rFonts w:hint="eastAsia" w:ascii="宋体" w:hAnsi="宋体" w:cs="宋体"/>
                <w:b/>
                <w:bCs/>
                <w:sz w:val="24"/>
                <w:szCs w:val="24"/>
              </w:rPr>
              <w:t>商务标</w:t>
            </w:r>
          </w:p>
          <w:p>
            <w:pPr>
              <w:jc w:val="center"/>
              <w:rPr>
                <w:rFonts w:ascii="Times New Roman" w:hAnsi="Times New Roman"/>
              </w:rPr>
            </w:pPr>
            <w:r>
              <w:rPr>
                <w:rFonts w:hint="eastAsia" w:ascii="宋体" w:hAnsi="宋体" w:cs="宋体"/>
                <w:b/>
                <w:bCs/>
                <w:sz w:val="24"/>
                <w:szCs w:val="24"/>
              </w:rPr>
              <w:t>（30%）</w:t>
            </w:r>
          </w:p>
        </w:tc>
        <w:tc>
          <w:tcPr>
            <w:tcW w:w="1215" w:type="dxa"/>
            <w:vAlign w:val="center"/>
          </w:tcPr>
          <w:p>
            <w:pPr>
              <w:ind w:firstLine="28"/>
              <w:jc w:val="center"/>
              <w:rPr>
                <w:rFonts w:ascii="宋体" w:hAnsi="宋体" w:cs="宋体"/>
                <w:b/>
                <w:bCs/>
                <w:sz w:val="24"/>
                <w:szCs w:val="24"/>
              </w:rPr>
            </w:pPr>
            <w:r>
              <w:rPr>
                <w:rFonts w:hint="eastAsia" w:ascii="宋体" w:hAnsi="宋体" w:cs="宋体"/>
                <w:b/>
                <w:bCs/>
                <w:sz w:val="24"/>
                <w:szCs w:val="24"/>
              </w:rPr>
              <w:t>商务标</w:t>
            </w:r>
          </w:p>
          <w:p>
            <w:pPr>
              <w:ind w:firstLine="28"/>
              <w:jc w:val="center"/>
              <w:rPr>
                <w:rFonts w:ascii="宋体" w:hAnsi="宋体" w:cs="宋体"/>
                <w:b/>
                <w:bCs/>
                <w:sz w:val="24"/>
                <w:szCs w:val="24"/>
              </w:rPr>
            </w:pPr>
            <w:r>
              <w:rPr>
                <w:rFonts w:hint="eastAsia" w:ascii="宋体" w:hAnsi="宋体" w:cs="宋体"/>
                <w:b/>
                <w:bCs/>
                <w:sz w:val="24"/>
                <w:szCs w:val="24"/>
              </w:rPr>
              <w:t>得分</w:t>
            </w:r>
          </w:p>
          <w:p>
            <w:pPr>
              <w:ind w:firstLine="28"/>
              <w:jc w:val="center"/>
              <w:rPr>
                <w:rFonts w:ascii="Times New Roman" w:hAnsi="Times New Roman"/>
              </w:rPr>
            </w:pPr>
            <w:r>
              <w:rPr>
                <w:rFonts w:hint="eastAsia" w:ascii="宋体" w:hAnsi="宋体" w:cs="宋体"/>
                <w:b/>
                <w:bCs/>
                <w:sz w:val="24"/>
                <w:szCs w:val="24"/>
              </w:rPr>
              <w:t>(30分)</w:t>
            </w:r>
          </w:p>
        </w:tc>
        <w:tc>
          <w:tcPr>
            <w:tcW w:w="7024" w:type="dxa"/>
            <w:gridSpan w:val="2"/>
          </w:tcPr>
          <w:p>
            <w:pPr>
              <w:ind w:firstLine="482" w:firstLineChars="200"/>
              <w:rPr>
                <w:rFonts w:ascii="宋体" w:hAnsi="宋体" w:cs="宋体"/>
                <w:b/>
                <w:sz w:val="24"/>
                <w:szCs w:val="24"/>
              </w:rPr>
            </w:pPr>
            <w:r>
              <w:rPr>
                <w:rFonts w:hint="eastAsia" w:ascii="宋体" w:hAnsi="宋体" w:cs="宋体"/>
                <w:b/>
                <w:sz w:val="24"/>
                <w:szCs w:val="24"/>
              </w:rPr>
              <w:t>一、经济实力和财务状况（5分）</w:t>
            </w:r>
          </w:p>
          <w:p>
            <w:pPr>
              <w:ind w:firstLine="480" w:firstLineChars="200"/>
              <w:rPr>
                <w:rFonts w:ascii="宋体" w:hAnsi="宋体" w:cs="宋体"/>
                <w:bCs/>
                <w:sz w:val="24"/>
                <w:szCs w:val="24"/>
              </w:rPr>
            </w:pPr>
            <w:r>
              <w:rPr>
                <w:rFonts w:hint="eastAsia" w:ascii="宋体" w:hAnsi="宋体" w:cs="宋体"/>
                <w:bCs/>
                <w:sz w:val="24"/>
                <w:szCs w:val="24"/>
              </w:rPr>
              <w:t>1.近两年资产负债率平均小于50% 。（1分）</w:t>
            </w:r>
          </w:p>
          <w:p>
            <w:pPr>
              <w:ind w:firstLine="480" w:firstLineChars="200"/>
              <w:rPr>
                <w:rFonts w:ascii="宋体" w:hAnsi="宋体" w:cs="宋体"/>
                <w:bCs/>
                <w:sz w:val="24"/>
                <w:szCs w:val="24"/>
              </w:rPr>
            </w:pPr>
            <w:r>
              <w:rPr>
                <w:rFonts w:hint="eastAsia" w:ascii="宋体" w:hAnsi="宋体" w:cs="宋体"/>
                <w:bCs/>
                <w:sz w:val="24"/>
                <w:szCs w:val="24"/>
              </w:rPr>
              <w:t>2.近两年财务报表为盈利。（1分）</w:t>
            </w:r>
          </w:p>
          <w:p>
            <w:pPr>
              <w:ind w:firstLine="480" w:firstLineChars="200"/>
              <w:rPr>
                <w:rFonts w:ascii="宋体" w:hAnsi="宋体" w:cs="宋体"/>
                <w:bCs/>
                <w:sz w:val="24"/>
                <w:szCs w:val="24"/>
              </w:rPr>
            </w:pPr>
            <w:r>
              <w:rPr>
                <w:rFonts w:hint="eastAsia" w:ascii="宋体" w:hAnsi="宋体" w:cs="宋体"/>
                <w:bCs/>
                <w:sz w:val="24"/>
                <w:szCs w:val="24"/>
              </w:rPr>
              <w:t>3.提供近两年有效的公司银行流水，其中外地企业需提供在重庆注册的独立法人分公司的银行流水（提供连续两年均为500-1000万以内银行流水可得1分，1000-1500万以内银行流水可得2分，1500万以上银行流水可得3分；500万以下得零分）。（3分）</w:t>
            </w:r>
          </w:p>
          <w:p>
            <w:pPr>
              <w:ind w:firstLine="482" w:firstLineChars="200"/>
              <w:rPr>
                <w:rFonts w:ascii="宋体" w:hAnsi="宋体" w:cs="宋体"/>
                <w:b/>
                <w:sz w:val="24"/>
                <w:szCs w:val="24"/>
              </w:rPr>
            </w:pPr>
            <w:r>
              <w:rPr>
                <w:rFonts w:hint="eastAsia" w:ascii="宋体" w:hAnsi="宋体" w:cs="宋体"/>
                <w:b/>
                <w:sz w:val="24"/>
                <w:szCs w:val="24"/>
              </w:rPr>
              <w:t>二、业绩（10分）</w:t>
            </w:r>
          </w:p>
          <w:p>
            <w:pPr>
              <w:spacing w:afterLines="50"/>
              <w:ind w:firstLine="480" w:firstLineChars="200"/>
              <w:rPr>
                <w:rFonts w:ascii="宋体" w:hAnsi="宋体" w:cs="宋体"/>
                <w:bCs/>
                <w:sz w:val="24"/>
                <w:szCs w:val="24"/>
              </w:rPr>
            </w:pPr>
            <w:r>
              <w:rPr>
                <w:rFonts w:hint="eastAsia" w:ascii="宋体" w:hAnsi="宋体" w:cs="宋体"/>
                <w:bCs/>
                <w:sz w:val="24"/>
                <w:szCs w:val="24"/>
              </w:rPr>
              <w:t>提供自2012年以来经营普通本科高校食堂的服务合同（服务合同期限三年及以上），并按经营食堂的面积计分：经营面积2000—3000平方米，每份合同得1分，经营面积3001—4000平方米，每份合同得2分，经营面积5000平方米以上的，每份合同得3分，最高得10分（提供合同复印件，原件备查）；</w:t>
            </w:r>
          </w:p>
          <w:p>
            <w:pPr>
              <w:ind w:firstLine="482" w:firstLineChars="200"/>
              <w:rPr>
                <w:rFonts w:ascii="宋体" w:hAnsi="宋体" w:cs="宋体"/>
                <w:b/>
                <w:sz w:val="24"/>
                <w:szCs w:val="24"/>
              </w:rPr>
            </w:pPr>
            <w:r>
              <w:rPr>
                <w:rFonts w:hint="eastAsia" w:ascii="宋体" w:hAnsi="宋体" w:cs="宋体"/>
                <w:b/>
                <w:sz w:val="24"/>
                <w:szCs w:val="24"/>
              </w:rPr>
              <w:t>三、用户满意度（5分）</w:t>
            </w:r>
          </w:p>
          <w:p>
            <w:pPr>
              <w:spacing w:afterLines="50"/>
              <w:ind w:firstLine="480" w:firstLineChars="200"/>
              <w:rPr>
                <w:rFonts w:ascii="Times New Roman" w:hAnsi="Times New Roman"/>
              </w:rPr>
            </w:pPr>
            <w:r>
              <w:rPr>
                <w:rFonts w:hint="eastAsia" w:ascii="宋体" w:hAnsi="宋体" w:cs="宋体"/>
                <w:bCs/>
                <w:sz w:val="24"/>
                <w:szCs w:val="24"/>
              </w:rPr>
              <w:t>提供近三年普通本科高校用户满意证明文件（用户满意是指综合考核为良好或优秀，盖合作高校公章），综合考核为良好的每个高校得1分，综合考核为优秀的每个高校得2分，最高得5分。（以每个高校考核的最高等级评分）。</w:t>
            </w:r>
          </w:p>
        </w:tc>
      </w:tr>
    </w:tbl>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6"/>
        <w:gridCol w:w="1224"/>
        <w:gridCol w:w="6"/>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 w:type="dxa"/>
            <w:vAlign w:val="center"/>
          </w:tcPr>
          <w:p>
            <w:pPr>
              <w:ind w:firstLine="28"/>
              <w:jc w:val="center"/>
              <w:rPr>
                <w:rFonts w:ascii="宋体" w:hAnsi="宋体" w:cs="宋体"/>
                <w:b/>
                <w:bCs/>
                <w:sz w:val="24"/>
                <w:szCs w:val="24"/>
              </w:rPr>
            </w:pPr>
            <w:r>
              <w:rPr>
                <w:rFonts w:hint="eastAsia" w:ascii="宋体" w:hAnsi="宋体" w:cs="宋体"/>
                <w:b/>
                <w:bCs/>
                <w:sz w:val="24"/>
                <w:szCs w:val="24"/>
              </w:rPr>
              <w:t>商务标</w:t>
            </w:r>
          </w:p>
          <w:p>
            <w:pPr>
              <w:jc w:val="center"/>
              <w:rPr>
                <w:rFonts w:ascii="宋体" w:hAnsi="宋体" w:cs="宋体"/>
                <w:sz w:val="24"/>
                <w:szCs w:val="24"/>
              </w:rPr>
            </w:pPr>
            <w:r>
              <w:rPr>
                <w:rFonts w:hint="eastAsia" w:ascii="宋体" w:hAnsi="宋体" w:cs="宋体"/>
                <w:b/>
                <w:bCs/>
                <w:sz w:val="24"/>
                <w:szCs w:val="24"/>
              </w:rPr>
              <w:t>（30%）</w:t>
            </w:r>
          </w:p>
        </w:tc>
        <w:tc>
          <w:tcPr>
            <w:tcW w:w="1230" w:type="dxa"/>
            <w:gridSpan w:val="2"/>
            <w:vAlign w:val="center"/>
          </w:tcPr>
          <w:p>
            <w:pPr>
              <w:ind w:firstLine="28"/>
              <w:jc w:val="center"/>
              <w:rPr>
                <w:rFonts w:ascii="宋体" w:hAnsi="宋体" w:cs="宋体"/>
                <w:b/>
                <w:bCs/>
                <w:sz w:val="24"/>
                <w:szCs w:val="24"/>
              </w:rPr>
            </w:pPr>
            <w:r>
              <w:rPr>
                <w:rFonts w:hint="eastAsia" w:ascii="宋体" w:hAnsi="宋体" w:cs="宋体"/>
                <w:b/>
                <w:bCs/>
                <w:sz w:val="24"/>
                <w:szCs w:val="24"/>
              </w:rPr>
              <w:t>商务标</w:t>
            </w:r>
          </w:p>
          <w:p>
            <w:pPr>
              <w:ind w:firstLine="28"/>
              <w:jc w:val="center"/>
              <w:rPr>
                <w:rFonts w:ascii="宋体" w:hAnsi="宋体" w:cs="宋体"/>
                <w:b/>
                <w:bCs/>
                <w:sz w:val="24"/>
                <w:szCs w:val="24"/>
              </w:rPr>
            </w:pPr>
            <w:r>
              <w:rPr>
                <w:rFonts w:hint="eastAsia" w:ascii="宋体" w:hAnsi="宋体" w:cs="宋体"/>
                <w:b/>
                <w:bCs/>
                <w:sz w:val="24"/>
                <w:szCs w:val="24"/>
              </w:rPr>
              <w:t>得分</w:t>
            </w:r>
          </w:p>
          <w:p>
            <w:pPr>
              <w:ind w:firstLine="28"/>
              <w:jc w:val="center"/>
              <w:rPr>
                <w:rFonts w:ascii="宋体" w:hAnsi="宋体" w:cs="宋体"/>
                <w:sz w:val="24"/>
                <w:szCs w:val="24"/>
              </w:rPr>
            </w:pPr>
            <w:r>
              <w:rPr>
                <w:rFonts w:hint="eastAsia" w:ascii="宋体" w:hAnsi="宋体" w:cs="宋体"/>
                <w:b/>
                <w:bCs/>
                <w:sz w:val="24"/>
                <w:szCs w:val="24"/>
              </w:rPr>
              <w:t>(30分)</w:t>
            </w:r>
          </w:p>
        </w:tc>
        <w:tc>
          <w:tcPr>
            <w:tcW w:w="7024" w:type="dxa"/>
            <w:gridSpan w:val="2"/>
          </w:tcPr>
          <w:p>
            <w:pPr>
              <w:spacing w:afterLines="50"/>
              <w:ind w:firstLine="482" w:firstLineChars="200"/>
              <w:rPr>
                <w:rFonts w:ascii="宋体" w:hAnsi="宋体" w:cs="宋体"/>
                <w:b/>
                <w:sz w:val="24"/>
                <w:szCs w:val="24"/>
              </w:rPr>
            </w:pPr>
            <w:r>
              <w:rPr>
                <w:rFonts w:hint="eastAsia" w:ascii="宋体" w:hAnsi="宋体" w:cs="宋体"/>
                <w:b/>
                <w:sz w:val="24"/>
                <w:szCs w:val="24"/>
              </w:rPr>
              <w:t>四、企业管理体系认证证书（5分）</w:t>
            </w:r>
          </w:p>
          <w:p>
            <w:pPr>
              <w:ind w:firstLine="480" w:firstLineChars="200"/>
              <w:rPr>
                <w:rFonts w:ascii="宋体" w:hAnsi="宋体" w:cs="宋体"/>
                <w:bCs/>
                <w:sz w:val="24"/>
                <w:szCs w:val="24"/>
              </w:rPr>
            </w:pPr>
            <w:r>
              <w:rPr>
                <w:rFonts w:hint="eastAsia" w:ascii="宋体" w:hAnsi="宋体" w:cs="宋体"/>
                <w:bCs/>
                <w:sz w:val="24"/>
                <w:szCs w:val="24"/>
              </w:rPr>
              <w:t>（一）通过ISO22000食品安全管理体系认证证书得1分</w:t>
            </w:r>
          </w:p>
          <w:p>
            <w:pPr>
              <w:ind w:firstLine="480" w:firstLineChars="200"/>
              <w:rPr>
                <w:rFonts w:ascii="宋体" w:hAnsi="宋体" w:cs="宋体"/>
                <w:bCs/>
                <w:sz w:val="24"/>
                <w:szCs w:val="24"/>
              </w:rPr>
            </w:pPr>
            <w:r>
              <w:rPr>
                <w:rFonts w:hint="eastAsia" w:ascii="宋体" w:hAnsi="宋体" w:cs="宋体"/>
                <w:bCs/>
                <w:sz w:val="24"/>
                <w:szCs w:val="24"/>
              </w:rPr>
              <w:t>（二）通过ISO9001质量管理体系认证得1分</w:t>
            </w:r>
          </w:p>
          <w:p>
            <w:pPr>
              <w:ind w:firstLine="480" w:firstLineChars="200"/>
              <w:rPr>
                <w:rFonts w:ascii="宋体" w:hAnsi="宋体" w:cs="宋体"/>
                <w:bCs/>
                <w:sz w:val="24"/>
                <w:szCs w:val="24"/>
              </w:rPr>
            </w:pPr>
            <w:r>
              <w:rPr>
                <w:rFonts w:hint="eastAsia" w:ascii="宋体" w:hAnsi="宋体" w:cs="宋体"/>
                <w:bCs/>
                <w:sz w:val="24"/>
                <w:szCs w:val="24"/>
              </w:rPr>
              <w:t>（三）通过ISO14001环境管理体系认证证书得1分</w:t>
            </w:r>
          </w:p>
          <w:p>
            <w:pPr>
              <w:ind w:firstLine="480" w:firstLineChars="200"/>
              <w:rPr>
                <w:rFonts w:ascii="宋体" w:hAnsi="宋体" w:cs="宋体"/>
                <w:bCs/>
                <w:sz w:val="24"/>
                <w:szCs w:val="24"/>
              </w:rPr>
            </w:pPr>
            <w:r>
              <w:rPr>
                <w:rFonts w:hint="eastAsia" w:ascii="宋体" w:hAnsi="宋体" w:cs="宋体"/>
                <w:bCs/>
                <w:sz w:val="24"/>
                <w:szCs w:val="24"/>
              </w:rPr>
              <w:t>（四）通过GB/T28001职业健康安全管理体系认证得1分</w:t>
            </w:r>
          </w:p>
          <w:p>
            <w:pPr>
              <w:ind w:firstLine="480" w:firstLineChars="200"/>
              <w:rPr>
                <w:rFonts w:ascii="宋体" w:hAnsi="宋体" w:cs="宋体"/>
                <w:bCs/>
                <w:sz w:val="24"/>
                <w:szCs w:val="24"/>
              </w:rPr>
            </w:pPr>
            <w:r>
              <w:rPr>
                <w:rFonts w:hint="eastAsia" w:ascii="宋体" w:hAnsi="宋体" w:cs="宋体"/>
                <w:bCs/>
                <w:sz w:val="24"/>
                <w:szCs w:val="24"/>
              </w:rPr>
              <w:t>（五）具有经营社会餐饮许可证得1分</w:t>
            </w:r>
          </w:p>
          <w:p>
            <w:pPr>
              <w:ind w:firstLine="480" w:firstLineChars="200"/>
              <w:rPr>
                <w:rFonts w:ascii="宋体" w:hAnsi="宋体" w:cs="宋体"/>
                <w:bCs/>
                <w:sz w:val="24"/>
                <w:szCs w:val="24"/>
              </w:rPr>
            </w:pPr>
            <w:r>
              <w:rPr>
                <w:rFonts w:hint="eastAsia" w:ascii="宋体" w:hAnsi="宋体" w:cs="宋体"/>
                <w:bCs/>
                <w:sz w:val="24"/>
                <w:szCs w:val="24"/>
              </w:rPr>
              <w:t>以上项目须提供证书复印件并加盖投标单位公章，原件备查</w:t>
            </w:r>
          </w:p>
          <w:p>
            <w:pPr>
              <w:spacing w:afterLines="50"/>
              <w:ind w:firstLine="482" w:firstLineChars="200"/>
              <w:rPr>
                <w:rFonts w:ascii="宋体" w:hAnsi="宋体" w:cs="宋体"/>
                <w:b/>
                <w:sz w:val="24"/>
                <w:szCs w:val="24"/>
              </w:rPr>
            </w:pPr>
            <w:r>
              <w:rPr>
                <w:rFonts w:hint="eastAsia" w:ascii="宋体" w:hAnsi="宋体" w:cs="宋体"/>
                <w:b/>
                <w:sz w:val="24"/>
                <w:szCs w:val="24"/>
              </w:rPr>
              <w:t>五、企业荣誉（5分）</w:t>
            </w:r>
          </w:p>
          <w:p>
            <w:pPr>
              <w:ind w:firstLine="480" w:firstLineChars="200"/>
              <w:rPr>
                <w:rFonts w:ascii="宋体" w:hAnsi="宋体" w:cs="宋体"/>
                <w:bCs/>
                <w:sz w:val="24"/>
                <w:szCs w:val="24"/>
              </w:rPr>
            </w:pPr>
            <w:r>
              <w:rPr>
                <w:rFonts w:hint="eastAsia" w:ascii="宋体" w:hAnsi="宋体" w:cs="宋体"/>
                <w:bCs/>
                <w:sz w:val="24"/>
                <w:szCs w:val="24"/>
              </w:rPr>
              <w:t>（一）近三年获得“全国高校后勤服务优秀企业”称号得2分</w:t>
            </w:r>
          </w:p>
          <w:p>
            <w:pPr>
              <w:ind w:firstLine="480" w:firstLineChars="200"/>
              <w:rPr>
                <w:rFonts w:ascii="宋体" w:hAnsi="宋体" w:cs="宋体"/>
                <w:bCs/>
                <w:sz w:val="24"/>
                <w:szCs w:val="24"/>
              </w:rPr>
            </w:pPr>
            <w:r>
              <w:rPr>
                <w:rFonts w:hint="eastAsia" w:ascii="宋体" w:hAnsi="宋体" w:cs="宋体"/>
                <w:bCs/>
                <w:sz w:val="24"/>
                <w:szCs w:val="24"/>
              </w:rPr>
              <w:t>（二）近三年获得“省市级高校后勤服务优秀企业”称号得1分</w:t>
            </w:r>
          </w:p>
          <w:p>
            <w:pPr>
              <w:ind w:firstLine="480" w:firstLineChars="200"/>
              <w:rPr>
                <w:rFonts w:ascii="宋体" w:hAnsi="宋体" w:cs="宋体"/>
                <w:bCs/>
                <w:sz w:val="24"/>
                <w:szCs w:val="24"/>
              </w:rPr>
            </w:pPr>
            <w:r>
              <w:rPr>
                <w:rFonts w:hint="eastAsia" w:ascii="宋体" w:hAnsi="宋体" w:cs="宋体"/>
                <w:bCs/>
                <w:sz w:val="24"/>
                <w:szCs w:val="24"/>
              </w:rPr>
              <w:t>（三）近三年所经营的食堂获得“标准化食堂”或“示范食堂”称号得1分</w:t>
            </w:r>
          </w:p>
          <w:p>
            <w:pPr>
              <w:ind w:firstLine="480" w:firstLineChars="200"/>
              <w:rPr>
                <w:rFonts w:ascii="宋体" w:hAnsi="宋体" w:cs="宋体"/>
                <w:bCs/>
                <w:sz w:val="24"/>
                <w:szCs w:val="24"/>
              </w:rPr>
            </w:pPr>
            <w:r>
              <w:rPr>
                <w:rFonts w:hint="eastAsia" w:ascii="宋体" w:hAnsi="宋体" w:cs="宋体"/>
                <w:bCs/>
                <w:sz w:val="24"/>
                <w:szCs w:val="24"/>
              </w:rPr>
              <w:t>（四）近三年获得省市级及以上行业协会荣誉称号得1分。</w:t>
            </w:r>
          </w:p>
          <w:p>
            <w:pPr>
              <w:ind w:firstLine="480" w:firstLineChars="200"/>
              <w:rPr>
                <w:rFonts w:ascii="宋体" w:hAnsi="宋体" w:cs="宋体"/>
                <w:bCs/>
                <w:sz w:val="24"/>
                <w:szCs w:val="24"/>
              </w:rPr>
            </w:pPr>
            <w:r>
              <w:rPr>
                <w:rFonts w:hint="eastAsia" w:ascii="宋体" w:hAnsi="宋体" w:cs="宋体"/>
                <w:bCs/>
                <w:sz w:val="24"/>
                <w:szCs w:val="24"/>
              </w:rPr>
              <w:t>以上项目须提供证书复印件并加盖投标人公章，原件备查。</w:t>
            </w:r>
          </w:p>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gridSpan w:val="2"/>
            <w:vAlign w:val="center"/>
          </w:tcPr>
          <w:p>
            <w:pPr>
              <w:jc w:val="center"/>
              <w:rPr>
                <w:rFonts w:ascii="宋体" w:hAnsi="宋体"/>
                <w:b/>
                <w:bCs/>
                <w:szCs w:val="21"/>
              </w:rPr>
            </w:pPr>
            <w:r>
              <w:rPr>
                <w:rFonts w:hint="eastAsia" w:ascii="宋体" w:hAnsi="宋体"/>
                <w:b/>
                <w:bCs/>
                <w:szCs w:val="21"/>
              </w:rPr>
              <w:t>现场</w:t>
            </w:r>
          </w:p>
          <w:p>
            <w:pPr>
              <w:jc w:val="center"/>
              <w:rPr>
                <w:rFonts w:ascii="宋体" w:hAnsi="宋体"/>
                <w:b/>
                <w:bCs/>
                <w:szCs w:val="21"/>
              </w:rPr>
            </w:pPr>
            <w:r>
              <w:rPr>
                <w:rFonts w:hint="eastAsia" w:ascii="宋体" w:hAnsi="宋体"/>
                <w:b/>
                <w:bCs/>
                <w:szCs w:val="21"/>
              </w:rPr>
              <w:t>答辩</w:t>
            </w:r>
          </w:p>
          <w:p>
            <w:pPr>
              <w:jc w:val="center"/>
              <w:rPr>
                <w:rFonts w:ascii="Times New Roman" w:hAnsi="Times New Roman"/>
                <w:b/>
                <w:bCs/>
              </w:rPr>
            </w:pPr>
            <w:r>
              <w:rPr>
                <w:rFonts w:hint="eastAsia" w:ascii="宋体" w:hAnsi="宋体"/>
                <w:b/>
                <w:bCs/>
                <w:szCs w:val="21"/>
              </w:rPr>
              <w:t>（10%）</w:t>
            </w:r>
          </w:p>
        </w:tc>
        <w:tc>
          <w:tcPr>
            <w:tcW w:w="1230" w:type="dxa"/>
            <w:gridSpan w:val="2"/>
            <w:vAlign w:val="center"/>
          </w:tcPr>
          <w:p>
            <w:pPr>
              <w:jc w:val="center"/>
              <w:rPr>
                <w:rFonts w:ascii="宋体" w:hAnsi="宋体"/>
                <w:b/>
                <w:bCs/>
                <w:sz w:val="24"/>
                <w:szCs w:val="24"/>
              </w:rPr>
            </w:pPr>
            <w:r>
              <w:rPr>
                <w:rFonts w:hint="eastAsia" w:ascii="宋体" w:hAnsi="宋体"/>
                <w:b/>
                <w:bCs/>
                <w:sz w:val="24"/>
                <w:szCs w:val="24"/>
              </w:rPr>
              <w:t>现场答辩</w:t>
            </w:r>
          </w:p>
          <w:p>
            <w:pPr>
              <w:jc w:val="center"/>
              <w:rPr>
                <w:rFonts w:ascii="宋体" w:hAnsi="宋体"/>
                <w:b/>
                <w:bCs/>
                <w:sz w:val="24"/>
                <w:szCs w:val="24"/>
              </w:rPr>
            </w:pPr>
            <w:r>
              <w:rPr>
                <w:rFonts w:hint="eastAsia" w:ascii="宋体" w:hAnsi="宋体"/>
                <w:b/>
                <w:bCs/>
                <w:sz w:val="24"/>
                <w:szCs w:val="24"/>
              </w:rPr>
              <w:t>得分</w:t>
            </w:r>
          </w:p>
          <w:p>
            <w:pPr>
              <w:jc w:val="center"/>
              <w:rPr>
                <w:rFonts w:ascii="Times New Roman" w:hAnsi="Times New Roman"/>
                <w:b/>
                <w:bCs/>
              </w:rPr>
            </w:pPr>
            <w:r>
              <w:rPr>
                <w:rFonts w:hint="eastAsia" w:ascii="宋体" w:hAnsi="宋体"/>
                <w:b/>
                <w:bCs/>
                <w:sz w:val="24"/>
                <w:szCs w:val="24"/>
              </w:rPr>
              <w:t>（10分）</w:t>
            </w:r>
          </w:p>
        </w:tc>
        <w:tc>
          <w:tcPr>
            <w:tcW w:w="7018" w:type="dxa"/>
          </w:tcPr>
          <w:p>
            <w:pPr>
              <w:rPr>
                <w:rFonts w:ascii="Times New Roman" w:hAnsi="Times New Roman"/>
              </w:rPr>
            </w:pPr>
            <w:r>
              <w:rPr>
                <w:rFonts w:hint="eastAsia" w:ascii="宋体" w:hAnsi="宋体" w:cs="宋体"/>
                <w:bCs/>
                <w:sz w:val="24"/>
                <w:szCs w:val="24"/>
              </w:rPr>
              <w:t>现场答辩限时10分钟，主要陈述企业文化、装修方案、管理水平、经营方法、安全预案、经济实力、企业荣誉以及新一代大学食堂的经营管理理念等，可使用视频、PPT等多媒体展示。同时回答评审委员随机提问。</w:t>
            </w:r>
          </w:p>
        </w:tc>
      </w:tr>
    </w:tbl>
    <w:p>
      <w:pPr>
        <w:pStyle w:val="3"/>
        <w:spacing w:before="0" w:after="0"/>
        <w:ind w:firstLine="281" w:firstLineChars="100"/>
        <w:rPr>
          <w:color w:val="000000" w:themeColor="text1"/>
          <w:sz w:val="28"/>
          <w:szCs w:val="28"/>
        </w:rPr>
      </w:pPr>
      <w:bookmarkStart w:id="43" w:name="_Toc22244"/>
      <w:bookmarkStart w:id="44" w:name="_Toc186919412"/>
      <w:r>
        <w:rPr>
          <w:rFonts w:hint="eastAsia"/>
          <w:color w:val="000000" w:themeColor="text1"/>
          <w:sz w:val="28"/>
          <w:szCs w:val="28"/>
        </w:rPr>
        <w:t>三、无效投标条款</w:t>
      </w:r>
      <w:bookmarkEnd w:id="43"/>
      <w:bookmarkEnd w:id="44"/>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投标人或其投标文件出现下列情况之一者，应为无效投标：</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（一）投标人未按招标文件规定提交足额投标保证金的；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（二）投标人未通过资格性检查或投标文件未通过符合性检查的；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（三）投标人超出其营业执照或事业单位法人证书上经营范围（业务范围）投标的；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（四）单位负责人为同一人或者存在直接控股、管理关系的不同服务商，不得参加同一合同项下的政府采购活动，上述投标人的投标均无效；</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（五）为采购项目提供整体设计、规范编制或者项目管理、监理、检测等服务的服务商，再参加该采购项目的其他采购活动的；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（六）</w:t>
      </w:r>
      <w:r>
        <w:rPr>
          <w:rFonts w:hint="eastAsia"/>
          <w:color w:val="000000" w:themeColor="text1"/>
          <w:sz w:val="24"/>
          <w:szCs w:val="24"/>
        </w:rPr>
        <w:t>投标文件未按照招标文件要求由投标人法定代表人或授权代表签字，或未按招标文件要求的格式加盖公章的（逐页签字盖章的要求除外）；</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（七）投标文件出现多个投标方案或投标报价的；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（八）投标报价低于招标文件规定的投资限价的；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（九）</w:t>
      </w:r>
      <w:r>
        <w:rPr>
          <w:rFonts w:hint="eastAsia"/>
          <w:color w:val="000000" w:themeColor="text1"/>
          <w:sz w:val="24"/>
          <w:szCs w:val="24"/>
        </w:rPr>
        <w:t>餐厨设施设备和装修材料</w:t>
      </w:r>
      <w:r>
        <w:rPr>
          <w:rFonts w:hint="eastAsia" w:ascii="宋体" w:hAnsi="宋体"/>
          <w:color w:val="000000" w:themeColor="text1"/>
          <w:sz w:val="24"/>
          <w:szCs w:val="24"/>
        </w:rPr>
        <w:t>不符合必须强制执行的国家标准的；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（十）投标有效期不满足招标文件要求的；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（十一）投标文件含有违反国家法律、法规的内容，或附有采购人不能接受的条件的。</w:t>
      </w:r>
    </w:p>
    <w:p>
      <w:pPr>
        <w:pStyle w:val="3"/>
        <w:spacing w:before="0" w:after="0"/>
        <w:ind w:firstLine="562" w:firstLineChars="200"/>
        <w:rPr>
          <w:color w:val="000000" w:themeColor="text1"/>
          <w:sz w:val="28"/>
          <w:szCs w:val="28"/>
        </w:rPr>
      </w:pPr>
      <w:bookmarkStart w:id="45" w:name="_Toc186919413"/>
      <w:bookmarkStart w:id="46" w:name="_Toc8555"/>
      <w:r>
        <w:rPr>
          <w:rFonts w:hint="eastAsia"/>
          <w:color w:val="000000" w:themeColor="text1"/>
          <w:sz w:val="28"/>
          <w:szCs w:val="28"/>
        </w:rPr>
        <w:t>四、废标条款</w:t>
      </w:r>
      <w:bookmarkEnd w:id="45"/>
      <w:bookmarkEnd w:id="46"/>
    </w:p>
    <w:p>
      <w:pPr>
        <w:spacing w:line="400" w:lineRule="exact"/>
        <w:ind w:firstLine="480" w:firstLineChars="200"/>
        <w:jc w:val="left"/>
        <w:rPr>
          <w:color w:val="000000" w:themeColor="text1"/>
          <w:sz w:val="24"/>
          <w:szCs w:val="24"/>
        </w:rPr>
      </w:pPr>
      <w:r>
        <w:rPr>
          <w:rFonts w:hint="eastAsia"/>
          <w:color w:val="000000" w:themeColor="text1"/>
          <w:sz w:val="24"/>
          <w:szCs w:val="24"/>
        </w:rPr>
        <w:t>评标委员会评审时出现以下情况之一的，应予废标：</w:t>
      </w:r>
    </w:p>
    <w:p>
      <w:pPr>
        <w:spacing w:line="400" w:lineRule="exact"/>
        <w:ind w:firstLine="480" w:firstLineChars="200"/>
        <w:jc w:val="left"/>
        <w:rPr>
          <w:color w:val="000000" w:themeColor="text1"/>
          <w:sz w:val="24"/>
          <w:szCs w:val="24"/>
        </w:rPr>
      </w:pPr>
      <w:r>
        <w:rPr>
          <w:rFonts w:hint="eastAsia"/>
          <w:color w:val="000000" w:themeColor="text1"/>
          <w:sz w:val="24"/>
          <w:szCs w:val="24"/>
        </w:rPr>
        <w:t>（一）对招标文件作实质响应的投标人不足三家的；</w:t>
      </w:r>
    </w:p>
    <w:p>
      <w:pPr>
        <w:snapToGrid w:val="0"/>
        <w:spacing w:line="400" w:lineRule="exact"/>
        <w:ind w:firstLine="480" w:firstLineChars="200"/>
        <w:rPr>
          <w:rFonts w:ascii="宋体"/>
          <w:color w:val="000000" w:themeColor="text1"/>
          <w:sz w:val="24"/>
          <w:szCs w:val="24"/>
        </w:rPr>
      </w:pPr>
      <w:r>
        <w:rPr>
          <w:rFonts w:hint="eastAsia" w:ascii="宋体" w:hAnsi="宋体"/>
          <w:color w:val="000000" w:themeColor="text1"/>
          <w:sz w:val="24"/>
          <w:szCs w:val="24"/>
        </w:rPr>
        <w:t>（二）投标人的报价均低于招标文件规定的投资限价，长江师范学院不能接受的；</w:t>
      </w:r>
    </w:p>
    <w:p>
      <w:pPr>
        <w:spacing w:line="400" w:lineRule="exact"/>
        <w:ind w:firstLine="480" w:firstLineChars="200"/>
        <w:jc w:val="left"/>
        <w:rPr>
          <w:color w:val="000000" w:themeColor="text1"/>
          <w:sz w:val="24"/>
          <w:szCs w:val="24"/>
        </w:rPr>
      </w:pPr>
      <w:r>
        <w:rPr>
          <w:rFonts w:hint="eastAsia"/>
          <w:color w:val="000000" w:themeColor="text1"/>
          <w:sz w:val="24"/>
          <w:szCs w:val="24"/>
        </w:rPr>
        <w:t>（三）出现影响招标公正的违法、违规行为的；</w:t>
      </w:r>
    </w:p>
    <w:p>
      <w:pPr>
        <w:spacing w:line="400" w:lineRule="exact"/>
        <w:ind w:firstLine="480" w:firstLineChars="200"/>
        <w:jc w:val="left"/>
        <w:rPr>
          <w:color w:val="000000" w:themeColor="text1"/>
          <w:sz w:val="24"/>
          <w:szCs w:val="24"/>
        </w:rPr>
      </w:pPr>
      <w:r>
        <w:rPr>
          <w:rFonts w:hint="eastAsia"/>
          <w:color w:val="000000" w:themeColor="text1"/>
          <w:sz w:val="24"/>
          <w:szCs w:val="24"/>
        </w:rPr>
        <w:t>（四）因重大变故，招标任务取消的。</w:t>
      </w:r>
    </w:p>
    <w:p>
      <w:pPr>
        <w:spacing w:line="400" w:lineRule="exact"/>
        <w:ind w:firstLine="480" w:firstLineChars="200"/>
        <w:jc w:val="left"/>
        <w:rPr>
          <w:color w:val="000000" w:themeColor="text1"/>
          <w:sz w:val="24"/>
          <w:szCs w:val="24"/>
        </w:rPr>
      </w:pPr>
      <w:r>
        <w:rPr>
          <w:rFonts w:hint="eastAsia"/>
          <w:color w:val="000000" w:themeColor="text1"/>
          <w:sz w:val="24"/>
          <w:szCs w:val="24"/>
        </w:rPr>
        <w:t>废标后，除招标任务取消情形外，应当重新组织招标。</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pStyle w:val="2"/>
        <w:spacing w:before="0" w:after="0"/>
        <w:jc w:val="center"/>
        <w:rPr>
          <w:color w:val="000000" w:themeColor="text1"/>
        </w:rPr>
      </w:pPr>
      <w:bookmarkStart w:id="47" w:name="_Toc186919414"/>
      <w:bookmarkStart w:id="48" w:name="_Toc25606"/>
      <w:r>
        <w:rPr>
          <w:rFonts w:hint="eastAsia"/>
          <w:color w:val="000000" w:themeColor="text1"/>
        </w:rPr>
        <w:t>第四篇投标人须知</w:t>
      </w:r>
      <w:bookmarkEnd w:id="47"/>
      <w:bookmarkEnd w:id="48"/>
    </w:p>
    <w:p>
      <w:pPr>
        <w:pStyle w:val="3"/>
        <w:spacing w:before="0" w:after="0"/>
        <w:ind w:firstLine="562" w:firstLineChars="200"/>
        <w:rPr>
          <w:color w:val="000000" w:themeColor="text1"/>
          <w:sz w:val="28"/>
          <w:szCs w:val="28"/>
        </w:rPr>
      </w:pPr>
      <w:bookmarkStart w:id="49" w:name="_Toc12753"/>
      <w:bookmarkStart w:id="50" w:name="_Toc186919415"/>
      <w:r>
        <w:rPr>
          <w:rFonts w:hint="eastAsia"/>
          <w:color w:val="000000" w:themeColor="text1"/>
          <w:sz w:val="28"/>
          <w:szCs w:val="28"/>
        </w:rPr>
        <w:t>一、投标费用</w:t>
      </w:r>
      <w:bookmarkEnd w:id="49"/>
      <w:bookmarkEnd w:id="50"/>
    </w:p>
    <w:p>
      <w:pPr>
        <w:spacing w:line="400" w:lineRule="exact"/>
        <w:ind w:firstLine="480" w:firstLineChars="200"/>
        <w:jc w:val="left"/>
        <w:rPr>
          <w:color w:val="000000" w:themeColor="text1"/>
          <w:sz w:val="24"/>
          <w:szCs w:val="24"/>
        </w:rPr>
      </w:pPr>
      <w:r>
        <w:rPr>
          <w:rFonts w:hint="eastAsia"/>
          <w:color w:val="000000" w:themeColor="text1"/>
          <w:sz w:val="24"/>
          <w:szCs w:val="24"/>
        </w:rPr>
        <w:t>无论投标结果如何，投标人参与本项目投标的所有费用均应由投标人自行承担。</w:t>
      </w:r>
    </w:p>
    <w:p>
      <w:pPr>
        <w:pStyle w:val="3"/>
        <w:spacing w:before="0" w:after="0"/>
        <w:ind w:firstLine="562" w:firstLineChars="200"/>
        <w:rPr>
          <w:color w:val="000000" w:themeColor="text1"/>
          <w:sz w:val="28"/>
          <w:szCs w:val="28"/>
        </w:rPr>
      </w:pPr>
      <w:bookmarkStart w:id="51" w:name="_Toc21260"/>
      <w:bookmarkStart w:id="52" w:name="_Toc186919416"/>
      <w:r>
        <w:rPr>
          <w:rFonts w:hint="eastAsia"/>
          <w:color w:val="000000" w:themeColor="text1"/>
          <w:sz w:val="28"/>
          <w:szCs w:val="28"/>
        </w:rPr>
        <w:t>二、投标人</w:t>
      </w:r>
      <w:bookmarkEnd w:id="51"/>
      <w:bookmarkEnd w:id="52"/>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合格投标人条件</w:t>
      </w:r>
    </w:p>
    <w:p>
      <w:pPr>
        <w:spacing w:line="400" w:lineRule="exact"/>
        <w:ind w:firstLine="480" w:firstLineChars="200"/>
        <w:jc w:val="left"/>
        <w:rPr>
          <w:color w:val="000000" w:themeColor="text1"/>
          <w:sz w:val="24"/>
          <w:szCs w:val="24"/>
        </w:rPr>
      </w:pPr>
      <w:r>
        <w:rPr>
          <w:rFonts w:hint="eastAsia"/>
          <w:color w:val="000000" w:themeColor="text1"/>
          <w:sz w:val="24"/>
          <w:szCs w:val="24"/>
        </w:rPr>
        <w:t>合格投标人应完全符合招标文件第一篇中规定的投标人资格条件，并对招标文件作出实质性响应。</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投标人的风险</w:t>
      </w:r>
    </w:p>
    <w:p>
      <w:pPr>
        <w:spacing w:line="400" w:lineRule="exact"/>
        <w:ind w:firstLine="480" w:firstLineChars="200"/>
        <w:jc w:val="left"/>
        <w:rPr>
          <w:color w:val="000000" w:themeColor="text1"/>
          <w:sz w:val="24"/>
          <w:szCs w:val="24"/>
        </w:rPr>
      </w:pPr>
      <w:r>
        <w:rPr>
          <w:rFonts w:hint="eastAsia"/>
          <w:color w:val="000000" w:themeColor="text1"/>
          <w:sz w:val="24"/>
          <w:szCs w:val="24"/>
        </w:rPr>
        <w:t>投标人没有按照招标文件要求提供全部资料，或者投标人没有对招标文件在各方面作出实质性响应，可能导致投标被拒绝或评定为无效投标。</w:t>
      </w:r>
    </w:p>
    <w:p>
      <w:pPr>
        <w:pStyle w:val="3"/>
        <w:spacing w:before="0" w:after="0"/>
        <w:ind w:firstLine="562" w:firstLineChars="200"/>
        <w:rPr>
          <w:color w:val="000000" w:themeColor="text1"/>
          <w:sz w:val="28"/>
          <w:szCs w:val="28"/>
        </w:rPr>
      </w:pPr>
      <w:bookmarkStart w:id="53" w:name="_Toc186919417"/>
      <w:bookmarkStart w:id="54" w:name="_Toc11575"/>
      <w:r>
        <w:rPr>
          <w:rFonts w:hint="eastAsia"/>
          <w:color w:val="000000" w:themeColor="text1"/>
          <w:sz w:val="28"/>
          <w:szCs w:val="28"/>
        </w:rPr>
        <w:t>三、招标文件</w:t>
      </w:r>
      <w:bookmarkEnd w:id="53"/>
      <w:bookmarkEnd w:id="54"/>
    </w:p>
    <w:p>
      <w:pPr>
        <w:spacing w:line="400" w:lineRule="exact"/>
        <w:ind w:firstLine="480" w:firstLineChars="200"/>
        <w:jc w:val="left"/>
        <w:rPr>
          <w:color w:val="000000" w:themeColor="text1"/>
          <w:sz w:val="24"/>
          <w:szCs w:val="24"/>
        </w:rPr>
      </w:pPr>
      <w:r>
        <w:rPr>
          <w:rFonts w:hint="eastAsia"/>
          <w:color w:val="000000" w:themeColor="text1"/>
          <w:sz w:val="24"/>
          <w:szCs w:val="24"/>
        </w:rPr>
        <w:t>招标文件是投标人编制投标文件的依据，是评标委员会评判依据和标准。招标文件也是招标人与中标人签订合同的基础。</w:t>
      </w:r>
    </w:p>
    <w:p>
      <w:pPr>
        <w:spacing w:line="400" w:lineRule="exact"/>
        <w:ind w:firstLine="480" w:firstLineChars="200"/>
        <w:jc w:val="left"/>
        <w:rPr>
          <w:color w:val="000000" w:themeColor="text1"/>
          <w:sz w:val="24"/>
          <w:szCs w:val="24"/>
        </w:rPr>
      </w:pPr>
      <w:r>
        <w:rPr>
          <w:rFonts w:hint="eastAsia"/>
          <w:color w:val="000000" w:themeColor="text1"/>
          <w:sz w:val="24"/>
          <w:szCs w:val="24"/>
        </w:rPr>
        <w:t>（一）招标文件由投标邀请书；</w:t>
      </w:r>
      <w:r>
        <w:rPr>
          <w:rFonts w:hint="eastAsia"/>
          <w:sz w:val="24"/>
          <w:szCs w:val="24"/>
        </w:rPr>
        <w:t>项目商务要求；</w:t>
      </w:r>
      <w:r>
        <w:rPr>
          <w:rFonts w:hint="eastAsia"/>
          <w:color w:val="000000" w:themeColor="text1"/>
          <w:sz w:val="24"/>
          <w:szCs w:val="24"/>
        </w:rPr>
        <w:t>评标方法、评标标准、无效投标条款和废标条款；投标人须知；合同主要条款、合同范本；投标文件格式等六个部分组成。</w:t>
      </w:r>
    </w:p>
    <w:p>
      <w:pPr>
        <w:spacing w:line="400" w:lineRule="exact"/>
        <w:ind w:firstLine="480" w:firstLineChars="200"/>
        <w:jc w:val="left"/>
        <w:rPr>
          <w:color w:val="000000" w:themeColor="text1"/>
          <w:sz w:val="24"/>
          <w:szCs w:val="24"/>
        </w:rPr>
      </w:pPr>
      <w:r>
        <w:rPr>
          <w:rFonts w:hint="eastAsia"/>
          <w:color w:val="000000" w:themeColor="text1"/>
          <w:sz w:val="24"/>
          <w:szCs w:val="24"/>
        </w:rPr>
        <w:t>（二）招标人对招标文件所作的一切有效的书面通知、修改及补充，都是招标文件不可分割的部分。</w:t>
      </w:r>
    </w:p>
    <w:p>
      <w:pPr>
        <w:spacing w:line="400" w:lineRule="exact"/>
        <w:ind w:firstLine="480" w:firstLineChars="200"/>
        <w:jc w:val="left"/>
        <w:rPr>
          <w:color w:val="000000" w:themeColor="text1"/>
          <w:sz w:val="24"/>
          <w:szCs w:val="24"/>
        </w:rPr>
      </w:pPr>
      <w:r>
        <w:rPr>
          <w:rFonts w:hint="eastAsia"/>
          <w:color w:val="000000" w:themeColor="text1"/>
          <w:sz w:val="24"/>
          <w:szCs w:val="24"/>
        </w:rPr>
        <w:t>（三）本项目的招标文件、补遗文件（如果有）一律在长江师范学院校园网（</w:t>
      </w:r>
      <w:r>
        <w:rPr>
          <w:color w:val="000000" w:themeColor="text1"/>
          <w:sz w:val="24"/>
          <w:szCs w:val="24"/>
        </w:rPr>
        <w:t>http://www.yznu.cn</w:t>
      </w:r>
      <w:r>
        <w:rPr>
          <w:rFonts w:hint="eastAsia"/>
          <w:color w:val="000000" w:themeColor="text1"/>
          <w:sz w:val="24"/>
          <w:szCs w:val="24"/>
        </w:rPr>
        <w:t>）上发布，请各投标人注意下载；无论投标人下载与否，均视为已知晓本项目的招标文件、补遗文件（如果有）内容。</w:t>
      </w:r>
    </w:p>
    <w:p>
      <w:pPr>
        <w:spacing w:line="400" w:lineRule="exact"/>
        <w:ind w:firstLine="480" w:firstLineChars="200"/>
        <w:jc w:val="left"/>
        <w:rPr>
          <w:color w:val="000000" w:themeColor="text1"/>
          <w:sz w:val="24"/>
          <w:szCs w:val="24"/>
        </w:rPr>
      </w:pPr>
      <w:r>
        <w:rPr>
          <w:rFonts w:hint="eastAsia"/>
          <w:color w:val="000000" w:themeColor="text1"/>
          <w:sz w:val="24"/>
          <w:szCs w:val="24"/>
        </w:rPr>
        <w:t>（四）采购部门对已发出的招标文件需要进行澄清或修改的，应以书面形式通知所有招标文件收受人。该澄清或者修改的内容为招标文件的组成部分。</w:t>
      </w:r>
    </w:p>
    <w:p>
      <w:pPr>
        <w:pStyle w:val="3"/>
        <w:spacing w:before="0" w:after="0"/>
        <w:ind w:firstLine="562" w:firstLineChars="200"/>
        <w:rPr>
          <w:color w:val="000000" w:themeColor="text1"/>
          <w:sz w:val="28"/>
          <w:szCs w:val="28"/>
        </w:rPr>
      </w:pPr>
      <w:bookmarkStart w:id="55" w:name="_Toc186919418"/>
      <w:bookmarkStart w:id="56" w:name="_Toc3088"/>
      <w:r>
        <w:rPr>
          <w:rFonts w:hint="eastAsia"/>
          <w:color w:val="000000" w:themeColor="text1"/>
          <w:sz w:val="28"/>
          <w:szCs w:val="28"/>
        </w:rPr>
        <w:t>四、投标文件</w:t>
      </w:r>
      <w:bookmarkEnd w:id="55"/>
      <w:bookmarkEnd w:id="56"/>
    </w:p>
    <w:p>
      <w:pPr>
        <w:spacing w:line="400" w:lineRule="exact"/>
        <w:ind w:firstLine="480" w:firstLineChars="200"/>
        <w:jc w:val="left"/>
        <w:rPr>
          <w:color w:val="000000" w:themeColor="text1"/>
          <w:sz w:val="24"/>
          <w:szCs w:val="24"/>
        </w:rPr>
      </w:pPr>
      <w:r>
        <w:rPr>
          <w:rFonts w:hint="eastAsia"/>
          <w:color w:val="000000" w:themeColor="text1"/>
          <w:sz w:val="24"/>
          <w:szCs w:val="24"/>
        </w:rPr>
        <w:t>投标人应当按照招标文件的要求编制投标文件，并对招标文件提出的要求和条件作出实质性响应，投标文件原则上采用软面订本，同时应编制完整的页码、目录。</w:t>
      </w:r>
    </w:p>
    <w:p>
      <w:pPr>
        <w:spacing w:line="400" w:lineRule="exact"/>
        <w:ind w:firstLine="480" w:firstLineChars="200"/>
        <w:jc w:val="left"/>
        <w:rPr>
          <w:color w:val="000000" w:themeColor="text1"/>
          <w:sz w:val="24"/>
          <w:szCs w:val="24"/>
        </w:rPr>
      </w:pPr>
      <w:r>
        <w:rPr>
          <w:rFonts w:hint="eastAsia"/>
          <w:color w:val="000000" w:themeColor="text1"/>
          <w:sz w:val="24"/>
          <w:szCs w:val="24"/>
        </w:rPr>
        <w:t>（一）投标文件组成</w:t>
      </w:r>
    </w:p>
    <w:p>
      <w:pPr>
        <w:spacing w:line="400" w:lineRule="exact"/>
        <w:ind w:firstLine="480" w:firstLineChars="200"/>
        <w:jc w:val="left"/>
        <w:rPr>
          <w:color w:val="000000" w:themeColor="text1"/>
          <w:sz w:val="24"/>
          <w:szCs w:val="24"/>
        </w:rPr>
      </w:pPr>
      <w:r>
        <w:rPr>
          <w:rFonts w:hint="eastAsia"/>
          <w:sz w:val="24"/>
          <w:szCs w:val="24"/>
        </w:rPr>
        <w:t>投标文件由第七篇“投标文件格式”规定的部分和投标人所作的一切有效补充、修改和承诺等文件组成，投标人应按照第七篇“投标文件格式”规定的目录</w:t>
      </w:r>
      <w:r>
        <w:rPr>
          <w:rFonts w:hint="eastAsia"/>
          <w:color w:val="000000" w:themeColor="text1"/>
          <w:sz w:val="24"/>
          <w:szCs w:val="24"/>
        </w:rPr>
        <w:t>顺序组织编写和装订，否则有可能影响评委对投标文件的评审。</w:t>
      </w:r>
    </w:p>
    <w:p>
      <w:pPr>
        <w:spacing w:line="400" w:lineRule="exact"/>
        <w:ind w:firstLine="480" w:firstLineChars="200"/>
        <w:jc w:val="left"/>
        <w:rPr>
          <w:color w:val="000000" w:themeColor="text1"/>
          <w:sz w:val="24"/>
          <w:szCs w:val="24"/>
        </w:rPr>
      </w:pPr>
      <w:r>
        <w:rPr>
          <w:rFonts w:hint="eastAsia"/>
          <w:color w:val="000000" w:themeColor="text1"/>
          <w:sz w:val="24"/>
          <w:szCs w:val="24"/>
        </w:rPr>
        <w:t>（二）投标有效期</w:t>
      </w:r>
    </w:p>
    <w:p>
      <w:pPr>
        <w:spacing w:line="400" w:lineRule="exact"/>
        <w:ind w:firstLine="480" w:firstLineChars="200"/>
        <w:jc w:val="left"/>
        <w:rPr>
          <w:color w:val="000000" w:themeColor="text1"/>
          <w:sz w:val="24"/>
          <w:szCs w:val="24"/>
        </w:rPr>
      </w:pPr>
      <w:r>
        <w:rPr>
          <w:rFonts w:hint="eastAsia"/>
          <w:color w:val="000000" w:themeColor="text1"/>
          <w:sz w:val="24"/>
          <w:szCs w:val="24"/>
        </w:rPr>
        <w:t>投标有效期为投标截止至合同签订日。</w:t>
      </w:r>
    </w:p>
    <w:p>
      <w:pPr>
        <w:spacing w:line="400" w:lineRule="exact"/>
        <w:ind w:firstLine="480" w:firstLineChars="200"/>
        <w:jc w:val="left"/>
        <w:rPr>
          <w:color w:val="000000" w:themeColor="text1"/>
          <w:sz w:val="24"/>
          <w:szCs w:val="24"/>
        </w:rPr>
      </w:pPr>
      <w:r>
        <w:rPr>
          <w:rFonts w:hint="eastAsia"/>
          <w:color w:val="000000" w:themeColor="text1"/>
          <w:sz w:val="24"/>
          <w:szCs w:val="24"/>
        </w:rPr>
        <w:t>（三）投标保证金</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投标人应在投标截止时间前，按招标文件第一篇规定向采购部门缴纳投标保证金；</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投标保证金为投标的有效约束条件；</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投标保证金的有效期限在投标有效期过后三十天内继续有效；</w:t>
      </w:r>
    </w:p>
    <w:p>
      <w:pPr>
        <w:spacing w:line="400" w:lineRule="exact"/>
        <w:ind w:firstLine="480" w:firstLineChars="200"/>
        <w:jc w:val="left"/>
        <w:rPr>
          <w:color w:val="000000" w:themeColor="text1"/>
          <w:sz w:val="24"/>
          <w:szCs w:val="24"/>
        </w:rPr>
      </w:pPr>
      <w:r>
        <w:rPr>
          <w:color w:val="000000" w:themeColor="text1"/>
          <w:sz w:val="24"/>
          <w:szCs w:val="24"/>
        </w:rPr>
        <w:t>4.</w:t>
      </w:r>
      <w:r>
        <w:rPr>
          <w:rFonts w:hint="eastAsia"/>
          <w:color w:val="000000" w:themeColor="text1"/>
          <w:sz w:val="24"/>
          <w:szCs w:val="24"/>
        </w:rPr>
        <w:t>投标保证金币种应与投标报价币种相同；</w:t>
      </w:r>
    </w:p>
    <w:p>
      <w:pPr>
        <w:spacing w:line="400" w:lineRule="exact"/>
        <w:ind w:firstLine="480" w:firstLineChars="200"/>
        <w:jc w:val="left"/>
        <w:rPr>
          <w:color w:val="000000" w:themeColor="text1"/>
          <w:sz w:val="24"/>
          <w:szCs w:val="24"/>
        </w:rPr>
      </w:pPr>
      <w:r>
        <w:rPr>
          <w:color w:val="000000" w:themeColor="text1"/>
          <w:sz w:val="24"/>
          <w:szCs w:val="24"/>
        </w:rPr>
        <w:t>5.</w:t>
      </w:r>
      <w:r>
        <w:rPr>
          <w:rFonts w:hint="eastAsia"/>
          <w:color w:val="000000" w:themeColor="text1"/>
          <w:sz w:val="24"/>
          <w:szCs w:val="24"/>
        </w:rPr>
        <w:t>学校采购部门在《中标通知书》发出后五个工作日内无息退还未中标人的投标保证金，中标人的投标保证金在中标人收到中标通知后，自动转为履约保证金；</w:t>
      </w:r>
    </w:p>
    <w:p>
      <w:pPr>
        <w:spacing w:line="400" w:lineRule="exact"/>
        <w:ind w:firstLine="480" w:firstLineChars="200"/>
        <w:jc w:val="left"/>
        <w:rPr>
          <w:color w:val="000000" w:themeColor="text1"/>
          <w:sz w:val="24"/>
          <w:szCs w:val="24"/>
        </w:rPr>
      </w:pPr>
      <w:r>
        <w:rPr>
          <w:color w:val="000000" w:themeColor="text1"/>
          <w:sz w:val="24"/>
          <w:szCs w:val="24"/>
        </w:rPr>
        <w:t>6.</w:t>
      </w:r>
      <w:r>
        <w:rPr>
          <w:rFonts w:hint="eastAsia"/>
          <w:color w:val="000000" w:themeColor="text1"/>
          <w:sz w:val="24"/>
          <w:szCs w:val="24"/>
        </w:rPr>
        <w:t>供应商有下列情形之一的，投标保证金将不予退还：</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）投标人在投标有效期内撤回投标文件的；</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）投标人未按规定提交履约保证金的；</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）投标人在投标过程中弄虚作假，提供虚假材料的；</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）中标人无正当理由不与采购人签订合同的；</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）中标人将中标项目转让给他人或者在投标文件中未说明且未经采购人同意，将中标项目分包给他人的；</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6</w:t>
      </w:r>
      <w:r>
        <w:rPr>
          <w:rFonts w:hint="eastAsia"/>
          <w:color w:val="000000" w:themeColor="text1"/>
          <w:sz w:val="24"/>
          <w:szCs w:val="24"/>
        </w:rPr>
        <w:t>）中标人拒绝履行合同义务的；</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7</w:t>
      </w:r>
      <w:r>
        <w:rPr>
          <w:rFonts w:hint="eastAsia"/>
          <w:color w:val="000000" w:themeColor="text1"/>
          <w:sz w:val="24"/>
          <w:szCs w:val="24"/>
        </w:rPr>
        <w:t>）其他严重扰乱招投标程序的。</w:t>
      </w:r>
    </w:p>
    <w:p>
      <w:pPr>
        <w:spacing w:line="400" w:lineRule="exact"/>
        <w:ind w:firstLine="480" w:firstLineChars="200"/>
        <w:jc w:val="left"/>
        <w:rPr>
          <w:color w:val="000000" w:themeColor="text1"/>
          <w:sz w:val="24"/>
          <w:szCs w:val="24"/>
        </w:rPr>
      </w:pPr>
      <w:r>
        <w:rPr>
          <w:rFonts w:hint="eastAsia"/>
          <w:color w:val="000000" w:themeColor="text1"/>
          <w:sz w:val="24"/>
          <w:szCs w:val="24"/>
        </w:rPr>
        <w:t>（四）投标文件的份数和签署</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投标文件一式十一份，其中正本一份，副本九份，电子文档一份（电子文档内容应与投标文件正本一致，推荐采用光盘或</w:t>
      </w:r>
      <w:r>
        <w:rPr>
          <w:color w:val="000000" w:themeColor="text1"/>
          <w:sz w:val="24"/>
          <w:szCs w:val="24"/>
        </w:rPr>
        <w:t>U</w:t>
      </w:r>
      <w:r>
        <w:rPr>
          <w:rFonts w:hint="eastAsia"/>
          <w:color w:val="000000" w:themeColor="text1"/>
          <w:sz w:val="24"/>
          <w:szCs w:val="24"/>
        </w:rPr>
        <w:t>盘为文件载体）。每套纸质投标文件须在封面清楚地标明“正本”或“副本”，副本应为正本的完整复印件，副本与正本不一致时以正本为准。投标文件电子文档与纸质投标文件正本不一致时，以纸质投标文件正本为准。</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在投标文件正本中，招标文件</w:t>
      </w:r>
      <w:r>
        <w:rPr>
          <w:rFonts w:hint="eastAsia"/>
          <w:sz w:val="24"/>
          <w:szCs w:val="24"/>
        </w:rPr>
        <w:t>第六篇</w:t>
      </w:r>
      <w:r>
        <w:rPr>
          <w:rFonts w:hint="eastAsia"/>
          <w:color w:val="000000" w:themeColor="text1"/>
          <w:sz w:val="24"/>
          <w:szCs w:val="24"/>
        </w:rPr>
        <w:t>投标文件格式中规定签字、盖章的地方必须按其规定签字、盖章。</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若投标人对投标文件的错处作必要修改，则应在修改处加盖投标人公章或由法人或法人授权代表签字确认。</w:t>
      </w:r>
    </w:p>
    <w:p>
      <w:pPr>
        <w:spacing w:line="400" w:lineRule="exact"/>
        <w:ind w:firstLine="480" w:firstLineChars="200"/>
        <w:jc w:val="left"/>
        <w:rPr>
          <w:color w:val="000000" w:themeColor="text1"/>
          <w:sz w:val="24"/>
          <w:szCs w:val="24"/>
        </w:rPr>
      </w:pPr>
      <w:r>
        <w:rPr>
          <w:color w:val="000000" w:themeColor="text1"/>
          <w:sz w:val="24"/>
          <w:szCs w:val="24"/>
        </w:rPr>
        <w:t>4.</w:t>
      </w:r>
      <w:r>
        <w:rPr>
          <w:rFonts w:hint="eastAsia"/>
          <w:color w:val="000000" w:themeColor="text1"/>
          <w:sz w:val="24"/>
          <w:szCs w:val="24"/>
        </w:rPr>
        <w:t>电报、电话、传真形式的投标文件概不接受。</w:t>
      </w:r>
    </w:p>
    <w:p>
      <w:pPr>
        <w:spacing w:line="400" w:lineRule="exact"/>
        <w:ind w:firstLine="480" w:firstLineChars="200"/>
        <w:jc w:val="left"/>
        <w:rPr>
          <w:color w:val="000000" w:themeColor="text1"/>
          <w:sz w:val="24"/>
          <w:szCs w:val="24"/>
        </w:rPr>
      </w:pPr>
      <w:r>
        <w:rPr>
          <w:rFonts w:hint="eastAsia"/>
          <w:color w:val="000000" w:themeColor="text1"/>
          <w:sz w:val="24"/>
          <w:szCs w:val="24"/>
        </w:rPr>
        <w:t>（五）投标报价</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投标人应严格按照“投标文件格式”中“开标一览表”的格式填写报价。</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投标人的报价为一次性报价，即在投标有效期内投标价格固定不变。</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本项目只接受一个投标报价，有选择的或有条件的报价将不予接受。</w:t>
      </w:r>
    </w:p>
    <w:p>
      <w:pPr>
        <w:spacing w:line="400" w:lineRule="exact"/>
        <w:ind w:firstLine="480" w:firstLineChars="200"/>
        <w:jc w:val="left"/>
        <w:rPr>
          <w:color w:val="000000" w:themeColor="text1"/>
          <w:sz w:val="24"/>
          <w:szCs w:val="24"/>
        </w:rPr>
      </w:pPr>
      <w:r>
        <w:rPr>
          <w:rFonts w:hint="eastAsia"/>
          <w:color w:val="000000" w:themeColor="text1"/>
          <w:sz w:val="24"/>
          <w:szCs w:val="24"/>
        </w:rPr>
        <w:t>（六）修正错误</w:t>
      </w:r>
    </w:p>
    <w:p>
      <w:pPr>
        <w:spacing w:line="400" w:lineRule="exact"/>
        <w:ind w:firstLine="480" w:firstLineChars="200"/>
        <w:jc w:val="left"/>
        <w:rPr>
          <w:color w:val="000000" w:themeColor="text1"/>
          <w:sz w:val="24"/>
          <w:szCs w:val="24"/>
        </w:rPr>
      </w:pPr>
      <w:r>
        <w:rPr>
          <w:rFonts w:hint="eastAsia"/>
          <w:color w:val="000000" w:themeColor="text1"/>
          <w:sz w:val="24"/>
          <w:szCs w:val="24"/>
        </w:rPr>
        <w:t>若投标文件出现计算或表达上的错误，修正错误的原则如下：</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开标一览表总价与投标报价明细表汇总数不一致的，以开标一览表为准；</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投标文件的大写金额和小写金额不一致的，以大写金额为准；</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总价金额与按单价汇总金额不一致的，以单价金额计算结果为准；</w:t>
      </w:r>
    </w:p>
    <w:p>
      <w:pPr>
        <w:spacing w:line="400" w:lineRule="exact"/>
        <w:ind w:firstLine="480" w:firstLineChars="200"/>
        <w:jc w:val="left"/>
        <w:rPr>
          <w:color w:val="000000" w:themeColor="text1"/>
          <w:sz w:val="24"/>
          <w:szCs w:val="24"/>
        </w:rPr>
      </w:pPr>
      <w:r>
        <w:rPr>
          <w:color w:val="000000" w:themeColor="text1"/>
          <w:sz w:val="24"/>
          <w:szCs w:val="24"/>
        </w:rPr>
        <w:t>4.</w:t>
      </w:r>
      <w:r>
        <w:rPr>
          <w:rFonts w:hint="eastAsia"/>
          <w:color w:val="000000" w:themeColor="text1"/>
          <w:sz w:val="24"/>
          <w:szCs w:val="24"/>
        </w:rPr>
        <w:t>单价金额小数点有明显错位的，应以总价为准，并修正单价；</w:t>
      </w:r>
    </w:p>
    <w:p>
      <w:pPr>
        <w:spacing w:line="400" w:lineRule="exact"/>
        <w:ind w:firstLine="480" w:firstLineChars="200"/>
        <w:jc w:val="left"/>
        <w:rPr>
          <w:color w:val="000000" w:themeColor="text1"/>
          <w:sz w:val="24"/>
          <w:szCs w:val="24"/>
        </w:rPr>
      </w:pPr>
      <w:r>
        <w:rPr>
          <w:color w:val="000000" w:themeColor="text1"/>
          <w:sz w:val="24"/>
          <w:szCs w:val="24"/>
        </w:rPr>
        <w:t>5.</w:t>
      </w:r>
      <w:r>
        <w:rPr>
          <w:rFonts w:hint="eastAsia"/>
          <w:color w:val="000000" w:themeColor="text1"/>
          <w:sz w:val="24"/>
          <w:szCs w:val="24"/>
        </w:rPr>
        <w:t>对不同文字文本投标文件的解释发生异议的，以中文文本为准。</w:t>
      </w:r>
    </w:p>
    <w:p>
      <w:pPr>
        <w:spacing w:line="400" w:lineRule="exact"/>
        <w:ind w:firstLine="480" w:firstLineChars="200"/>
        <w:jc w:val="left"/>
        <w:rPr>
          <w:color w:val="000000" w:themeColor="text1"/>
          <w:sz w:val="24"/>
          <w:szCs w:val="24"/>
        </w:rPr>
      </w:pPr>
      <w:r>
        <w:rPr>
          <w:rFonts w:hint="eastAsia"/>
          <w:color w:val="000000" w:themeColor="text1"/>
          <w:sz w:val="24"/>
          <w:szCs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pPr>
        <w:spacing w:line="400" w:lineRule="exact"/>
        <w:ind w:firstLine="480" w:firstLineChars="200"/>
        <w:jc w:val="left"/>
        <w:rPr>
          <w:color w:val="000000" w:themeColor="text1"/>
          <w:sz w:val="24"/>
          <w:szCs w:val="24"/>
        </w:rPr>
      </w:pPr>
      <w:r>
        <w:rPr>
          <w:rFonts w:hint="eastAsia"/>
          <w:color w:val="000000" w:themeColor="text1"/>
          <w:sz w:val="24"/>
          <w:szCs w:val="24"/>
        </w:rPr>
        <w:t>（七）投标文件的递交</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投标文件的密封与标记</w:t>
      </w:r>
    </w:p>
    <w:p>
      <w:pPr>
        <w:spacing w:line="400" w:lineRule="exact"/>
        <w:ind w:firstLine="480" w:firstLineChars="200"/>
        <w:jc w:val="left"/>
        <w:rPr>
          <w:color w:val="000000" w:themeColor="text1"/>
          <w:sz w:val="24"/>
          <w:szCs w:val="24"/>
        </w:rPr>
      </w:pPr>
      <w:r>
        <w:rPr>
          <w:rFonts w:hint="eastAsia"/>
          <w:color w:val="000000" w:themeColor="text1"/>
          <w:sz w:val="24"/>
          <w:szCs w:val="24"/>
        </w:rPr>
        <w:t>投标文件的正本、副本、电子文档均应用信封分别密封。信封上注明项目名称、投标人名称地址、“正本”、“副本”字样及“不准提前启封”字样。信封的封口须加盖投标人公章或授权代表签字。</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如果投标文件通过邮寄递交，投标人应将投标文件用内、外两层信封密封。</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）内层信封的封装与标记同“</w:t>
      </w:r>
      <w:r>
        <w:rPr>
          <w:color w:val="000000" w:themeColor="text1"/>
          <w:sz w:val="24"/>
          <w:szCs w:val="24"/>
        </w:rPr>
        <w:t>1</w:t>
      </w:r>
      <w:r>
        <w:rPr>
          <w:rFonts w:hint="eastAsia"/>
          <w:color w:val="000000" w:themeColor="text1"/>
          <w:sz w:val="24"/>
          <w:szCs w:val="24"/>
        </w:rPr>
        <w:t>、”款规定。</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）外层信封装入“</w:t>
      </w:r>
      <w:r>
        <w:rPr>
          <w:color w:val="000000" w:themeColor="text1"/>
          <w:sz w:val="24"/>
          <w:szCs w:val="24"/>
        </w:rPr>
        <w:t>1</w:t>
      </w:r>
      <w:r>
        <w:rPr>
          <w:rFonts w:hint="eastAsia"/>
          <w:color w:val="000000" w:themeColor="text1"/>
          <w:sz w:val="24"/>
          <w:szCs w:val="24"/>
        </w:rPr>
        <w:t>、”款所述全部内封资料，并注明招标编号、项目名称、采购部门名称及地址。同时应写明投标人的名称、地址，以便将迟交的投标文件原封退还。</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如果未按上述规定进行密封和标记，采购部门对投标文件误投、丢失或提前拆封不负责任。</w:t>
      </w:r>
    </w:p>
    <w:p>
      <w:pPr>
        <w:pStyle w:val="3"/>
        <w:spacing w:before="0" w:after="0"/>
        <w:ind w:firstLine="562" w:firstLineChars="200"/>
        <w:rPr>
          <w:color w:val="000000" w:themeColor="text1"/>
          <w:sz w:val="28"/>
          <w:szCs w:val="28"/>
        </w:rPr>
      </w:pPr>
      <w:bookmarkStart w:id="57" w:name="_Toc186919419"/>
      <w:bookmarkStart w:id="58" w:name="_Toc29353"/>
      <w:r>
        <w:rPr>
          <w:rFonts w:hint="eastAsia"/>
          <w:color w:val="000000" w:themeColor="text1"/>
          <w:sz w:val="28"/>
          <w:szCs w:val="28"/>
        </w:rPr>
        <w:t>五、开标</w:t>
      </w:r>
      <w:bookmarkEnd w:id="57"/>
      <w:bookmarkEnd w:id="58"/>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开标应当在招标文件中“投标邀请书”确定的时间和地点公开进行；</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长江师范学院国有资产管理处可视采购具体情况，延长投标截止时间和开标时间，但至少在招标文件要求提交投标文件的截止时间三日前，将变更时间书面通知所有招标文件收受人；</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开标由长江师范学院国有资产管理处主持，邀请采购人、投标人、长江师范学院有关监督部门代表参加；</w:t>
      </w:r>
    </w:p>
    <w:p>
      <w:pPr>
        <w:spacing w:line="400" w:lineRule="exact"/>
        <w:ind w:firstLine="480" w:firstLineChars="200"/>
        <w:jc w:val="left"/>
        <w:rPr>
          <w:color w:val="000000" w:themeColor="text1"/>
          <w:sz w:val="24"/>
          <w:szCs w:val="24"/>
        </w:rPr>
      </w:pPr>
      <w:r>
        <w:rPr>
          <w:color w:val="000000" w:themeColor="text1"/>
          <w:sz w:val="24"/>
          <w:szCs w:val="24"/>
        </w:rPr>
        <w:t>4.</w:t>
      </w:r>
      <w:r>
        <w:rPr>
          <w:rFonts w:hint="eastAsia"/>
          <w:color w:val="000000" w:themeColor="text1"/>
          <w:sz w:val="24"/>
          <w:szCs w:val="24"/>
        </w:rPr>
        <w:t>开标时，由投标人或者其推选的代表检查投标文件的密封情况，也可以由采购人委托的公证机构人员检查投标文件密封情况并公证；经确认密封完好的投标文件，由长江师范学院国有资产管理处工作人员当众拆封，宣读投标文件正本“开标一览表”的投标人名称和投标报价，以及招标文件允许的备选投标方案和投标文件的其他主要内容并记录；</w:t>
      </w:r>
    </w:p>
    <w:p>
      <w:pPr>
        <w:spacing w:line="400" w:lineRule="exact"/>
        <w:ind w:firstLine="480" w:firstLineChars="200"/>
        <w:jc w:val="left"/>
        <w:rPr>
          <w:color w:val="000000" w:themeColor="text1"/>
          <w:sz w:val="24"/>
          <w:szCs w:val="24"/>
        </w:rPr>
      </w:pPr>
      <w:r>
        <w:rPr>
          <w:color w:val="000000" w:themeColor="text1"/>
          <w:sz w:val="24"/>
          <w:szCs w:val="24"/>
        </w:rPr>
        <w:t>5.</w:t>
      </w:r>
      <w:r>
        <w:rPr>
          <w:rFonts w:hint="eastAsia"/>
          <w:color w:val="000000" w:themeColor="text1"/>
          <w:sz w:val="24"/>
          <w:szCs w:val="24"/>
        </w:rPr>
        <w:t>未宣读的投标价格、价格折扣和招标文件允许提供的备选投标方案等实质性内容等，评标时不予承认；</w:t>
      </w:r>
    </w:p>
    <w:p>
      <w:pPr>
        <w:spacing w:line="400" w:lineRule="exact"/>
        <w:ind w:firstLine="480" w:firstLineChars="200"/>
        <w:jc w:val="left"/>
        <w:rPr>
          <w:color w:val="000000" w:themeColor="text1"/>
          <w:sz w:val="24"/>
          <w:szCs w:val="24"/>
        </w:rPr>
      </w:pPr>
      <w:r>
        <w:rPr>
          <w:color w:val="000000" w:themeColor="text1"/>
          <w:sz w:val="24"/>
          <w:szCs w:val="24"/>
        </w:rPr>
        <w:t>6.</w:t>
      </w:r>
      <w:r>
        <w:rPr>
          <w:rFonts w:hint="eastAsia"/>
          <w:color w:val="000000" w:themeColor="text1"/>
          <w:sz w:val="24"/>
          <w:szCs w:val="24"/>
        </w:rPr>
        <w:t>开标过程应由招标采购部门指定专人负责记录，并存档备查；</w:t>
      </w:r>
    </w:p>
    <w:p>
      <w:pPr>
        <w:spacing w:line="400" w:lineRule="exact"/>
        <w:ind w:firstLine="480" w:firstLineChars="200"/>
        <w:jc w:val="left"/>
        <w:rPr>
          <w:rFonts w:ascii="宋体" w:hAnsi="宋体" w:cs="宋体"/>
          <w:color w:val="000000" w:themeColor="text1"/>
          <w:kern w:val="0"/>
          <w:sz w:val="24"/>
          <w:szCs w:val="24"/>
        </w:rPr>
      </w:pPr>
      <w:r>
        <w:rPr>
          <w:color w:val="000000" w:themeColor="text1"/>
          <w:sz w:val="24"/>
          <w:szCs w:val="24"/>
        </w:rPr>
        <w:t>7.</w:t>
      </w:r>
      <w:bookmarkStart w:id="59" w:name="_Toc186919420"/>
      <w:r>
        <w:rPr>
          <w:rFonts w:hint="eastAsia" w:ascii="宋体" w:hAnsi="宋体" w:cs="宋体"/>
          <w:color w:val="000000" w:themeColor="text1"/>
          <w:kern w:val="0"/>
          <w:sz w:val="24"/>
          <w:szCs w:val="24"/>
        </w:rPr>
        <w:t>唱标后由招标采购部门现场组织抽签，根据抽签序进行现场答辩，由投标人对本公司特色、优势进行介绍（可用</w:t>
      </w:r>
      <w:r>
        <w:rPr>
          <w:rFonts w:ascii="宋体" w:hAnsi="宋体" w:cs="宋体"/>
          <w:color w:val="000000" w:themeColor="text1"/>
          <w:kern w:val="0"/>
          <w:sz w:val="24"/>
          <w:szCs w:val="24"/>
        </w:rPr>
        <w:t>PPT</w:t>
      </w:r>
      <w:r>
        <w:rPr>
          <w:rFonts w:hint="eastAsia" w:ascii="宋体" w:hAnsi="宋体" w:cs="宋体"/>
          <w:color w:val="000000" w:themeColor="text1"/>
          <w:kern w:val="0"/>
          <w:sz w:val="24"/>
          <w:szCs w:val="24"/>
        </w:rPr>
        <w:t>），时间不超过</w:t>
      </w:r>
      <w:r>
        <w:rPr>
          <w:rFonts w:ascii="宋体" w:hAnsi="宋体" w:cs="宋体"/>
          <w:color w:val="000000" w:themeColor="text1"/>
          <w:kern w:val="0"/>
          <w:sz w:val="24"/>
          <w:szCs w:val="24"/>
        </w:rPr>
        <w:t>10</w:t>
      </w:r>
      <w:r>
        <w:rPr>
          <w:rFonts w:hint="eastAsia" w:ascii="宋体" w:hAnsi="宋体" w:cs="宋体"/>
          <w:color w:val="000000" w:themeColor="text1"/>
          <w:kern w:val="0"/>
          <w:sz w:val="24"/>
          <w:szCs w:val="24"/>
        </w:rPr>
        <w:t>分钟；由评标委员会成员现场提问答疑。</w:t>
      </w:r>
    </w:p>
    <w:p>
      <w:pPr>
        <w:pStyle w:val="3"/>
        <w:spacing w:before="0" w:after="0"/>
        <w:ind w:firstLine="562" w:firstLineChars="200"/>
        <w:rPr>
          <w:color w:val="000000" w:themeColor="text1"/>
          <w:sz w:val="28"/>
          <w:szCs w:val="28"/>
        </w:rPr>
      </w:pPr>
      <w:bookmarkStart w:id="60" w:name="_Toc5088"/>
      <w:r>
        <w:rPr>
          <w:rFonts w:hint="eastAsia"/>
          <w:color w:val="000000" w:themeColor="text1"/>
          <w:sz w:val="28"/>
          <w:szCs w:val="28"/>
        </w:rPr>
        <w:t>六、评标</w:t>
      </w:r>
      <w:bookmarkEnd w:id="59"/>
      <w:bookmarkEnd w:id="60"/>
    </w:p>
    <w:p>
      <w:pPr>
        <w:spacing w:line="400" w:lineRule="exact"/>
        <w:ind w:firstLine="480" w:firstLineChars="200"/>
        <w:jc w:val="left"/>
        <w:rPr>
          <w:color w:val="000000" w:themeColor="text1"/>
          <w:sz w:val="24"/>
          <w:szCs w:val="24"/>
        </w:rPr>
      </w:pPr>
      <w:r>
        <w:rPr>
          <w:rFonts w:hint="eastAsia"/>
          <w:sz w:val="24"/>
          <w:szCs w:val="24"/>
        </w:rPr>
        <w:t>见第三篇“</w:t>
      </w:r>
      <w:r>
        <w:rPr>
          <w:rFonts w:hint="eastAsia"/>
          <w:color w:val="000000" w:themeColor="text1"/>
          <w:sz w:val="24"/>
          <w:szCs w:val="24"/>
        </w:rPr>
        <w:t>评标”内容。</w:t>
      </w:r>
    </w:p>
    <w:p>
      <w:pPr>
        <w:pStyle w:val="3"/>
        <w:spacing w:before="0" w:after="0"/>
        <w:ind w:firstLine="562" w:firstLineChars="200"/>
        <w:rPr>
          <w:color w:val="000000" w:themeColor="text1"/>
          <w:sz w:val="28"/>
          <w:szCs w:val="28"/>
        </w:rPr>
      </w:pPr>
      <w:bookmarkStart w:id="61" w:name="_Toc21989"/>
      <w:bookmarkStart w:id="62" w:name="_Toc186919421"/>
      <w:r>
        <w:rPr>
          <w:rFonts w:hint="eastAsia"/>
          <w:color w:val="000000" w:themeColor="text1"/>
          <w:sz w:val="28"/>
          <w:szCs w:val="28"/>
        </w:rPr>
        <w:t>七、定标</w:t>
      </w:r>
      <w:bookmarkEnd w:id="61"/>
      <w:bookmarkEnd w:id="62"/>
    </w:p>
    <w:p>
      <w:pPr>
        <w:spacing w:line="400" w:lineRule="exact"/>
        <w:ind w:firstLine="480" w:firstLineChars="200"/>
        <w:jc w:val="left"/>
        <w:rPr>
          <w:color w:val="000000" w:themeColor="text1"/>
          <w:sz w:val="24"/>
          <w:szCs w:val="24"/>
        </w:rPr>
      </w:pPr>
      <w:r>
        <w:rPr>
          <w:rFonts w:hint="eastAsia"/>
          <w:color w:val="000000" w:themeColor="text1"/>
          <w:sz w:val="24"/>
          <w:szCs w:val="24"/>
        </w:rPr>
        <w:t>（一）定标原则</w:t>
      </w:r>
    </w:p>
    <w:p>
      <w:pPr>
        <w:spacing w:line="400" w:lineRule="exact"/>
        <w:ind w:firstLine="480" w:firstLineChars="200"/>
        <w:jc w:val="left"/>
        <w:rPr>
          <w:color w:val="000000" w:themeColor="text1"/>
          <w:sz w:val="24"/>
          <w:szCs w:val="24"/>
        </w:rPr>
      </w:pPr>
      <w:r>
        <w:rPr>
          <w:rFonts w:hint="eastAsia"/>
          <w:color w:val="000000" w:themeColor="text1"/>
          <w:sz w:val="24"/>
          <w:szCs w:val="24"/>
        </w:rPr>
        <w:t>采购人或其授权的评标委员会应按照评标报告中推荐的中标候选人排名顺序确定中标人。</w:t>
      </w:r>
    </w:p>
    <w:p>
      <w:pPr>
        <w:spacing w:line="400" w:lineRule="exact"/>
        <w:ind w:firstLine="480" w:firstLineChars="200"/>
        <w:jc w:val="left"/>
        <w:rPr>
          <w:color w:val="000000" w:themeColor="text1"/>
          <w:sz w:val="24"/>
          <w:szCs w:val="24"/>
        </w:rPr>
      </w:pPr>
      <w:r>
        <w:rPr>
          <w:rFonts w:hint="eastAsia"/>
          <w:color w:val="000000" w:themeColor="text1"/>
          <w:sz w:val="24"/>
          <w:szCs w:val="24"/>
        </w:rPr>
        <w:t>（二）定标程序</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长江师范学院国有资产管理处在评标结束后三个工作日内将评标报告交采购人确认。</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采购人在收到评标报告后三个工作日内确定中标人，确认后，长江师范学院国有资产管理处在长江师范学院网（</w:t>
      </w:r>
      <w:r>
        <w:rPr>
          <w:color w:val="000000" w:themeColor="text1"/>
          <w:sz w:val="24"/>
          <w:szCs w:val="24"/>
        </w:rPr>
        <w:t>http://www.yznu.cn</w:t>
      </w:r>
      <w:r>
        <w:rPr>
          <w:rFonts w:hint="eastAsia"/>
          <w:color w:val="000000" w:themeColor="text1"/>
          <w:sz w:val="24"/>
          <w:szCs w:val="24"/>
        </w:rPr>
        <w:t>）对评标结果进行公告。</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公告内容包括招标项目名称、中标人名单、评标委员会成员名单、长江师范学院国有资产管理处联系人和电话。</w:t>
      </w:r>
    </w:p>
    <w:p>
      <w:pPr>
        <w:spacing w:line="400" w:lineRule="exact"/>
        <w:ind w:firstLine="480" w:firstLineChars="200"/>
        <w:jc w:val="left"/>
        <w:rPr>
          <w:color w:val="000000" w:themeColor="text1"/>
          <w:sz w:val="24"/>
          <w:szCs w:val="24"/>
        </w:rPr>
      </w:pPr>
      <w:r>
        <w:rPr>
          <w:color w:val="000000" w:themeColor="text1"/>
          <w:sz w:val="24"/>
          <w:szCs w:val="24"/>
        </w:rPr>
        <w:t>4.</w:t>
      </w:r>
      <w:r>
        <w:rPr>
          <w:rFonts w:hint="eastAsia"/>
          <w:color w:val="000000" w:themeColor="text1"/>
          <w:sz w:val="24"/>
          <w:szCs w:val="24"/>
        </w:rPr>
        <w:t>如有投标人对评标结果提出质疑的，在质疑处理完毕后发出中标通知书。</w:t>
      </w:r>
    </w:p>
    <w:p>
      <w:pPr>
        <w:spacing w:line="400" w:lineRule="exact"/>
        <w:ind w:firstLine="480" w:firstLineChars="200"/>
        <w:jc w:val="left"/>
        <w:rPr>
          <w:color w:val="000000" w:themeColor="text1"/>
          <w:sz w:val="24"/>
          <w:szCs w:val="24"/>
        </w:rPr>
      </w:pPr>
      <w:r>
        <w:rPr>
          <w:color w:val="000000" w:themeColor="text1"/>
          <w:sz w:val="24"/>
          <w:szCs w:val="24"/>
        </w:rPr>
        <w:t>5.</w:t>
      </w:r>
      <w:r>
        <w:rPr>
          <w:rFonts w:hint="eastAsia"/>
          <w:color w:val="000000" w:themeColor="text1"/>
          <w:sz w:val="24"/>
          <w:szCs w:val="24"/>
        </w:rPr>
        <w:t>中标人变更</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）中标人因不可抗力或者自身原因不能履行合同的，招标人可以为确定排名其后第一位的中标候选人为中标候选人。</w:t>
      </w:r>
    </w:p>
    <w:p>
      <w:pPr>
        <w:spacing w:line="400" w:lineRule="exact"/>
        <w:ind w:firstLine="480" w:firstLineChars="200"/>
        <w:jc w:val="left"/>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）中标人无充分理由放弃中标的，招标人按照相关规定处理。</w:t>
      </w:r>
    </w:p>
    <w:p>
      <w:pPr>
        <w:pStyle w:val="3"/>
        <w:spacing w:before="0" w:after="0"/>
        <w:ind w:firstLine="562" w:firstLineChars="200"/>
        <w:rPr>
          <w:color w:val="000000" w:themeColor="text1"/>
          <w:sz w:val="28"/>
          <w:szCs w:val="28"/>
        </w:rPr>
      </w:pPr>
      <w:bookmarkStart w:id="63" w:name="_Toc186919422"/>
      <w:bookmarkStart w:id="64" w:name="_Toc28868"/>
      <w:r>
        <w:rPr>
          <w:rFonts w:hint="eastAsia"/>
          <w:color w:val="000000" w:themeColor="text1"/>
          <w:sz w:val="28"/>
          <w:szCs w:val="28"/>
        </w:rPr>
        <w:t>八、中标通知书</w:t>
      </w:r>
      <w:bookmarkEnd w:id="63"/>
      <w:bookmarkEnd w:id="64"/>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采购人依法确定中标人后，中标通知书由国有资产管理处以长江师范学院的名义送达。</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中标通知书发出后，采购人改变中标结果，或者中标人放弃中标，应当承担相应的法律责任。</w:t>
      </w:r>
    </w:p>
    <w:p>
      <w:pPr>
        <w:pStyle w:val="3"/>
        <w:spacing w:before="0" w:after="0"/>
        <w:ind w:firstLine="562" w:firstLineChars="200"/>
        <w:rPr>
          <w:color w:val="000000" w:themeColor="text1"/>
          <w:sz w:val="28"/>
          <w:szCs w:val="28"/>
        </w:rPr>
      </w:pPr>
      <w:bookmarkStart w:id="65" w:name="_Toc186919423"/>
      <w:bookmarkStart w:id="66" w:name="_Toc18322"/>
      <w:r>
        <w:rPr>
          <w:rFonts w:hint="eastAsia"/>
          <w:color w:val="000000" w:themeColor="text1"/>
          <w:sz w:val="28"/>
          <w:szCs w:val="28"/>
        </w:rPr>
        <w:t>九、投标人对中标结果的质疑、投诉</w:t>
      </w:r>
      <w:bookmarkEnd w:id="65"/>
      <w:bookmarkEnd w:id="66"/>
    </w:p>
    <w:p>
      <w:pPr>
        <w:spacing w:line="400" w:lineRule="exact"/>
        <w:ind w:firstLine="480" w:firstLineChars="200"/>
        <w:jc w:val="left"/>
        <w:rPr>
          <w:color w:val="000000" w:themeColor="text1"/>
          <w:sz w:val="24"/>
          <w:szCs w:val="24"/>
        </w:rPr>
      </w:pPr>
      <w:r>
        <w:rPr>
          <w:rFonts w:hint="eastAsia"/>
          <w:color w:val="000000" w:themeColor="text1"/>
          <w:sz w:val="24"/>
          <w:szCs w:val="24"/>
        </w:rPr>
        <w:t>（一）质疑内容、时限</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投标人对招标文件如有异议，应在招标文件发布之日起三个工作日内以书面形式向采购人提出质疑，并附相关证明材料。</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投标人对中标结果有异议的，应当在中标预公示发布之日起三个工作日内以书面形式向采购人提出质疑，并附相关证明材料。</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投标人对采购文件中特定资格条件、经济、技术和商务要求、评审标准及评审细则有异议的，应主要向采购人提出质疑。</w:t>
      </w:r>
    </w:p>
    <w:p>
      <w:pPr>
        <w:spacing w:line="400" w:lineRule="exact"/>
        <w:ind w:firstLine="480" w:firstLineChars="200"/>
        <w:jc w:val="left"/>
        <w:rPr>
          <w:color w:val="000000" w:themeColor="text1"/>
          <w:sz w:val="24"/>
          <w:szCs w:val="24"/>
        </w:rPr>
      </w:pPr>
      <w:r>
        <w:rPr>
          <w:rFonts w:hint="eastAsia"/>
          <w:color w:val="000000" w:themeColor="text1"/>
          <w:sz w:val="24"/>
          <w:szCs w:val="24"/>
        </w:rPr>
        <w:t>（二）质疑答复时限</w:t>
      </w:r>
    </w:p>
    <w:p>
      <w:pPr>
        <w:spacing w:line="400" w:lineRule="exact"/>
        <w:ind w:firstLine="480" w:firstLineChars="200"/>
        <w:jc w:val="left"/>
        <w:rPr>
          <w:color w:val="000000" w:themeColor="text1"/>
          <w:sz w:val="24"/>
          <w:szCs w:val="24"/>
        </w:rPr>
      </w:pPr>
      <w:r>
        <w:rPr>
          <w:rFonts w:hint="eastAsia"/>
          <w:color w:val="000000" w:themeColor="text1"/>
          <w:sz w:val="24"/>
          <w:szCs w:val="24"/>
        </w:rPr>
        <w:t>采购人、长江师范学院国有资产管理处在收到投标人书面质疑后三个工作日内，对质疑内容作出答复。</w:t>
      </w:r>
    </w:p>
    <w:p>
      <w:pPr>
        <w:spacing w:line="400" w:lineRule="exact"/>
        <w:ind w:firstLine="480" w:firstLineChars="200"/>
        <w:jc w:val="left"/>
        <w:rPr>
          <w:color w:val="000000" w:themeColor="text1"/>
          <w:sz w:val="24"/>
          <w:szCs w:val="24"/>
        </w:rPr>
      </w:pPr>
      <w:r>
        <w:rPr>
          <w:rFonts w:hint="eastAsia"/>
          <w:color w:val="000000" w:themeColor="text1"/>
          <w:sz w:val="24"/>
          <w:szCs w:val="24"/>
        </w:rPr>
        <w:t>（三）质疑答复方式</w:t>
      </w:r>
    </w:p>
    <w:p>
      <w:pPr>
        <w:spacing w:line="400" w:lineRule="exact"/>
        <w:ind w:firstLine="480" w:firstLineChars="200"/>
        <w:jc w:val="left"/>
        <w:rPr>
          <w:color w:val="000000" w:themeColor="text1"/>
          <w:sz w:val="24"/>
          <w:szCs w:val="24"/>
        </w:rPr>
      </w:pPr>
      <w:r>
        <w:rPr>
          <w:rFonts w:hint="eastAsia"/>
          <w:color w:val="000000" w:themeColor="text1"/>
          <w:sz w:val="24"/>
          <w:szCs w:val="24"/>
        </w:rPr>
        <w:t>采购人将在长江师范学院网（</w:t>
      </w:r>
      <w:r>
        <w:rPr>
          <w:color w:val="000000" w:themeColor="text1"/>
          <w:sz w:val="24"/>
          <w:szCs w:val="24"/>
        </w:rPr>
        <w:t>http://www.yznu.cn</w:t>
      </w:r>
      <w:r>
        <w:rPr>
          <w:rFonts w:hint="eastAsia"/>
          <w:color w:val="000000" w:themeColor="text1"/>
          <w:sz w:val="24"/>
          <w:szCs w:val="24"/>
        </w:rPr>
        <w:t>）对质疑答复内容进行公告。</w:t>
      </w:r>
    </w:p>
    <w:p>
      <w:pPr>
        <w:spacing w:line="400" w:lineRule="exact"/>
        <w:ind w:firstLine="480" w:firstLineChars="200"/>
        <w:jc w:val="left"/>
        <w:rPr>
          <w:color w:val="000000" w:themeColor="text1"/>
          <w:sz w:val="24"/>
          <w:szCs w:val="24"/>
        </w:rPr>
      </w:pPr>
      <w:r>
        <w:rPr>
          <w:rFonts w:hint="eastAsia"/>
          <w:color w:val="000000" w:themeColor="text1"/>
          <w:sz w:val="24"/>
          <w:szCs w:val="24"/>
        </w:rPr>
        <w:t>（四）不予受理或暂缓受理</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质疑有下列情形之一的，不予受理：</w:t>
      </w:r>
    </w:p>
    <w:p>
      <w:pPr>
        <w:spacing w:line="400" w:lineRule="exact"/>
        <w:ind w:firstLine="480" w:firstLineChars="200"/>
        <w:jc w:val="left"/>
        <w:rPr>
          <w:color w:val="000000" w:themeColor="text1"/>
          <w:sz w:val="24"/>
          <w:szCs w:val="24"/>
        </w:rPr>
      </w:pPr>
      <w:r>
        <w:rPr>
          <w:rFonts w:hint="eastAsia"/>
          <w:color w:val="000000" w:themeColor="text1"/>
          <w:sz w:val="24"/>
          <w:szCs w:val="24"/>
        </w:rPr>
        <w:t>（1）质疑投标人参与了投标活动后，再对招标文件内容提出质疑的；</w:t>
      </w:r>
    </w:p>
    <w:p>
      <w:pPr>
        <w:spacing w:line="400" w:lineRule="exact"/>
        <w:ind w:firstLine="480" w:firstLineChars="200"/>
        <w:jc w:val="left"/>
        <w:rPr>
          <w:color w:val="000000" w:themeColor="text1"/>
          <w:sz w:val="24"/>
          <w:szCs w:val="24"/>
        </w:rPr>
      </w:pPr>
      <w:r>
        <w:rPr>
          <w:rFonts w:hint="eastAsia"/>
          <w:color w:val="000000" w:themeColor="text1"/>
          <w:sz w:val="24"/>
          <w:szCs w:val="24"/>
        </w:rPr>
        <w:t>（2）质疑超过有效期的；</w:t>
      </w:r>
    </w:p>
    <w:p>
      <w:pPr>
        <w:spacing w:line="400" w:lineRule="exact"/>
        <w:ind w:firstLine="480" w:firstLineChars="200"/>
        <w:jc w:val="left"/>
        <w:rPr>
          <w:color w:val="000000" w:themeColor="text1"/>
          <w:sz w:val="24"/>
          <w:szCs w:val="24"/>
        </w:rPr>
      </w:pPr>
      <w:r>
        <w:rPr>
          <w:rFonts w:hint="eastAsia"/>
          <w:color w:val="000000" w:themeColor="text1"/>
          <w:sz w:val="24"/>
          <w:szCs w:val="24"/>
        </w:rPr>
        <w:t>（3）对同一事项重复质疑的。</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质疑有下列情形之一的，应暂不受理并告知投标人补充材料。投标人及时补充材料的，应予受理；逾期未补充的，不予受理：</w:t>
      </w:r>
    </w:p>
    <w:p>
      <w:pPr>
        <w:spacing w:line="400" w:lineRule="exact"/>
        <w:ind w:firstLine="480" w:firstLineChars="200"/>
        <w:jc w:val="left"/>
        <w:rPr>
          <w:color w:val="000000" w:themeColor="text1"/>
          <w:sz w:val="24"/>
          <w:szCs w:val="24"/>
        </w:rPr>
      </w:pPr>
      <w:r>
        <w:rPr>
          <w:rFonts w:hint="eastAsia"/>
          <w:color w:val="000000" w:themeColor="text1"/>
          <w:sz w:val="24"/>
          <w:szCs w:val="24"/>
        </w:rPr>
        <w:t>（1）质疑书内容不符合《重庆市政府采购供应商质疑投诉处理暂行规定》之规定的；</w:t>
      </w:r>
    </w:p>
    <w:p>
      <w:pPr>
        <w:spacing w:line="400" w:lineRule="exact"/>
        <w:ind w:firstLine="480" w:firstLineChars="200"/>
        <w:jc w:val="left"/>
        <w:rPr>
          <w:color w:val="000000" w:themeColor="text1"/>
          <w:sz w:val="24"/>
          <w:szCs w:val="24"/>
        </w:rPr>
      </w:pPr>
      <w:r>
        <w:rPr>
          <w:rFonts w:hint="eastAsia"/>
          <w:color w:val="000000" w:themeColor="text1"/>
          <w:sz w:val="24"/>
          <w:szCs w:val="24"/>
        </w:rPr>
        <w:t>（2）质疑书提供的依据或证明材料不全的；</w:t>
      </w:r>
    </w:p>
    <w:p>
      <w:pPr>
        <w:spacing w:line="400" w:lineRule="exact"/>
        <w:ind w:firstLine="480" w:firstLineChars="200"/>
        <w:jc w:val="left"/>
        <w:rPr>
          <w:color w:val="000000" w:themeColor="text1"/>
          <w:sz w:val="24"/>
          <w:szCs w:val="24"/>
        </w:rPr>
      </w:pPr>
      <w:r>
        <w:rPr>
          <w:rFonts w:hint="eastAsia"/>
          <w:color w:val="000000" w:themeColor="text1"/>
          <w:sz w:val="24"/>
          <w:szCs w:val="24"/>
        </w:rPr>
        <w:t>（3）质疑书副本数量不足的。</w:t>
      </w:r>
    </w:p>
    <w:p>
      <w:pPr>
        <w:spacing w:line="400" w:lineRule="exact"/>
        <w:ind w:firstLine="480" w:firstLineChars="200"/>
        <w:jc w:val="left"/>
        <w:rPr>
          <w:color w:val="000000" w:themeColor="text1"/>
          <w:sz w:val="24"/>
          <w:szCs w:val="24"/>
        </w:rPr>
      </w:pPr>
      <w:r>
        <w:rPr>
          <w:rFonts w:hint="eastAsia"/>
          <w:color w:val="000000" w:themeColor="text1"/>
          <w:sz w:val="24"/>
          <w:szCs w:val="24"/>
        </w:rPr>
        <w:t>（五）投诉</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投标人对采购人长江师范学院国有资产管理处的答复不满意或者采购人长江师范学院国有资产管理处未在规定时间内答复的，可在答复期满后十五个工作日内按有关规定，向上级主管部门投诉。</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在提出投诉时，应附送相关证明材料。投诉书及证明材料为外文的，应同时提供其中文译本；中文与外文意思不一致的，以中文为准。</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在确定受理投诉后，上级主管部门自受理投诉之日起三十个工作日内对投诉事项做出处理决定，并将投诉处理决定书送达投诉人、被投诉人和其他与投诉处理决定有利害关系的学校采购相关当事人，同时在长江师范学院网（</w:t>
      </w:r>
      <w:r>
        <w:rPr>
          <w:color w:val="000000" w:themeColor="text1"/>
          <w:sz w:val="24"/>
          <w:szCs w:val="24"/>
        </w:rPr>
        <w:t>http://www.yznu.cn</w:t>
      </w:r>
      <w:r>
        <w:rPr>
          <w:rFonts w:hint="eastAsia"/>
          <w:color w:val="000000" w:themeColor="text1"/>
          <w:sz w:val="24"/>
          <w:szCs w:val="24"/>
        </w:rPr>
        <w:t>）公告投诉处理决定书。</w:t>
      </w:r>
    </w:p>
    <w:p>
      <w:pPr>
        <w:pStyle w:val="3"/>
        <w:spacing w:before="0" w:after="0"/>
        <w:ind w:firstLine="562" w:firstLineChars="200"/>
        <w:rPr>
          <w:color w:val="000000" w:themeColor="text1"/>
          <w:sz w:val="28"/>
          <w:szCs w:val="28"/>
        </w:rPr>
      </w:pPr>
      <w:bookmarkStart w:id="67" w:name="_Toc11865"/>
      <w:bookmarkStart w:id="68" w:name="_Toc186919424"/>
      <w:r>
        <w:rPr>
          <w:rFonts w:hint="eastAsia"/>
          <w:color w:val="000000" w:themeColor="text1"/>
          <w:sz w:val="28"/>
          <w:szCs w:val="28"/>
        </w:rPr>
        <w:t>十、招标服务费</w:t>
      </w:r>
      <w:bookmarkEnd w:id="67"/>
      <w:bookmarkEnd w:id="68"/>
    </w:p>
    <w:p>
      <w:pPr>
        <w:spacing w:line="400" w:lineRule="exact"/>
        <w:ind w:firstLine="480" w:firstLineChars="200"/>
        <w:rPr>
          <w:rFonts w:ascii="宋体"/>
          <w:color w:val="000000" w:themeColor="text1"/>
          <w:sz w:val="24"/>
          <w:szCs w:val="24"/>
        </w:rPr>
      </w:pPr>
      <w:r>
        <w:rPr>
          <w:rFonts w:hint="eastAsia"/>
          <w:color w:val="000000" w:themeColor="text1"/>
          <w:sz w:val="24"/>
          <w:szCs w:val="24"/>
        </w:rPr>
        <w:t>（一）</w:t>
      </w:r>
      <w:r>
        <w:rPr>
          <w:rFonts w:hint="eastAsia" w:ascii="宋体" w:hAnsi="宋体"/>
          <w:color w:val="000000" w:themeColor="text1"/>
          <w:sz w:val="24"/>
          <w:szCs w:val="24"/>
        </w:rPr>
        <w:t>投标人中标后向长江师范学院缴纳招标服务费的，招标服务费的收取标准按照国家计委</w:t>
      </w:r>
      <w:r>
        <w:rPr>
          <w:rFonts w:ascii="宋体" w:hAnsi="宋体"/>
          <w:color w:val="000000" w:themeColor="text1"/>
          <w:sz w:val="24"/>
          <w:szCs w:val="24"/>
        </w:rPr>
        <w:t>[2002]1980</w:t>
      </w:r>
      <w:r>
        <w:rPr>
          <w:rFonts w:hint="eastAsia" w:ascii="宋体" w:hAnsi="宋体"/>
          <w:color w:val="000000" w:themeColor="text1"/>
          <w:sz w:val="24"/>
          <w:szCs w:val="24"/>
        </w:rPr>
        <w:t>号文件及国家发改委</w:t>
      </w:r>
      <w:r>
        <w:rPr>
          <w:rFonts w:ascii="宋体" w:hAnsi="宋体"/>
          <w:color w:val="000000" w:themeColor="text1"/>
          <w:sz w:val="24"/>
          <w:szCs w:val="24"/>
        </w:rPr>
        <w:t>[2003]857</w:t>
      </w:r>
      <w:r>
        <w:rPr>
          <w:rFonts w:hint="eastAsia" w:ascii="宋体" w:hAnsi="宋体"/>
          <w:color w:val="000000" w:themeColor="text1"/>
          <w:sz w:val="24"/>
          <w:szCs w:val="24"/>
        </w:rPr>
        <w:t>号文件规定的标准执行。中标人从其基本账户将招标服务费汇至长江师范学院的账号上，同时在进账凭证上明确招标项目名称。校内任何部门和个人不得截留招标服务费。</w:t>
      </w:r>
    </w:p>
    <w:p>
      <w:pPr>
        <w:spacing w:line="400" w:lineRule="exact"/>
        <w:ind w:firstLine="480" w:firstLineChars="200"/>
        <w:jc w:val="left"/>
        <w:rPr>
          <w:color w:val="000000" w:themeColor="text1"/>
          <w:sz w:val="24"/>
          <w:szCs w:val="24"/>
        </w:rPr>
      </w:pPr>
      <w:r>
        <w:rPr>
          <w:rFonts w:hint="eastAsia"/>
          <w:color w:val="000000" w:themeColor="text1"/>
          <w:sz w:val="24"/>
          <w:szCs w:val="24"/>
        </w:rPr>
        <w:t>国家计委</w:t>
      </w:r>
      <w:r>
        <w:rPr>
          <w:color w:val="000000" w:themeColor="text1"/>
          <w:sz w:val="24"/>
          <w:szCs w:val="24"/>
        </w:rPr>
        <w:t>[2002]1980</w:t>
      </w:r>
      <w:r>
        <w:rPr>
          <w:rFonts w:hint="eastAsia"/>
          <w:color w:val="000000" w:themeColor="text1"/>
          <w:sz w:val="24"/>
          <w:szCs w:val="24"/>
        </w:rPr>
        <w:t>号文件规定的招标服务费费率如下：</w:t>
      </w:r>
    </w:p>
    <w:tbl>
      <w:tblPr>
        <w:tblStyle w:val="43"/>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1798"/>
        <w:gridCol w:w="186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810" w:type="dxa"/>
            <w:tcBorders>
              <w:tl2br w:val="single" w:color="auto" w:sz="4" w:space="0"/>
            </w:tcBorders>
          </w:tcPr>
          <w:p>
            <w:pPr>
              <w:spacing w:line="240" w:lineRule="atLeast"/>
              <w:jc w:val="right"/>
              <w:rPr>
                <w:rFonts w:ascii="宋体"/>
                <w:color w:val="000000" w:themeColor="text1"/>
                <w:sz w:val="24"/>
                <w:szCs w:val="24"/>
              </w:rPr>
            </w:pPr>
            <w:r>
              <w:rPr>
                <w:color w:val="000000" w:themeColor="text1"/>
              </w:rPr>
              <w:pict>
                <v:line id="直接连接符 1" o:spid="_x0000_s1026" o:spt="20" style="position:absolute;left:0pt;margin-left:-9pt;margin-top:-0.5pt;height:0.05pt;width:0.05pt;z-index:251658240;mso-width-relative:page;mso-height-relative:page;" coordsize="21600,21600" o:allowincell="f">
                  <v:path arrowok="t"/>
                  <v:fill focussize="0,0"/>
                  <v:stroke/>
                  <v:imagedata o:title=""/>
                  <o:lock v:ext="edit"/>
                </v:line>
              </w:pict>
            </w:r>
            <w:r>
              <w:rPr>
                <w:rFonts w:hint="eastAsia" w:ascii="宋体" w:hAnsi="宋体"/>
                <w:color w:val="000000" w:themeColor="text1"/>
                <w:sz w:val="24"/>
                <w:szCs w:val="24"/>
              </w:rPr>
              <w:t>招标类型</w:t>
            </w:r>
          </w:p>
          <w:p>
            <w:pPr>
              <w:spacing w:line="240" w:lineRule="atLeast"/>
              <w:rPr>
                <w:rFonts w:ascii="宋体"/>
                <w:color w:val="000000" w:themeColor="text1"/>
                <w:sz w:val="24"/>
                <w:szCs w:val="24"/>
              </w:rPr>
            </w:pPr>
            <w:r>
              <w:rPr>
                <w:rFonts w:hint="eastAsia" w:ascii="宋体" w:hAnsi="宋体"/>
                <w:color w:val="000000" w:themeColor="text1"/>
                <w:sz w:val="24"/>
                <w:szCs w:val="24"/>
              </w:rPr>
              <w:t>中标金额（万元）</w:t>
            </w:r>
          </w:p>
        </w:tc>
        <w:tc>
          <w:tcPr>
            <w:tcW w:w="1798" w:type="dxa"/>
            <w:vAlign w:val="center"/>
          </w:tcPr>
          <w:p>
            <w:pPr>
              <w:spacing w:line="240" w:lineRule="atLeast"/>
              <w:jc w:val="center"/>
              <w:rPr>
                <w:rFonts w:ascii="宋体"/>
                <w:color w:val="000000" w:themeColor="text1"/>
                <w:sz w:val="24"/>
                <w:szCs w:val="24"/>
              </w:rPr>
            </w:pPr>
            <w:r>
              <w:rPr>
                <w:rFonts w:hint="eastAsia" w:ascii="宋体" w:hAnsi="宋体"/>
                <w:color w:val="000000" w:themeColor="text1"/>
                <w:sz w:val="24"/>
                <w:szCs w:val="24"/>
              </w:rPr>
              <w:t>货物招标</w:t>
            </w:r>
          </w:p>
        </w:tc>
        <w:tc>
          <w:tcPr>
            <w:tcW w:w="1865" w:type="dxa"/>
            <w:vAlign w:val="center"/>
          </w:tcPr>
          <w:p>
            <w:pPr>
              <w:spacing w:line="240" w:lineRule="atLeast"/>
              <w:jc w:val="center"/>
              <w:rPr>
                <w:rFonts w:ascii="宋体"/>
                <w:color w:val="000000" w:themeColor="text1"/>
                <w:sz w:val="24"/>
                <w:szCs w:val="24"/>
              </w:rPr>
            </w:pPr>
            <w:r>
              <w:rPr>
                <w:rFonts w:hint="eastAsia" w:ascii="宋体" w:hAnsi="宋体"/>
                <w:color w:val="000000" w:themeColor="text1"/>
                <w:sz w:val="24"/>
                <w:szCs w:val="24"/>
              </w:rPr>
              <w:t>服务招标</w:t>
            </w:r>
          </w:p>
        </w:tc>
        <w:tc>
          <w:tcPr>
            <w:tcW w:w="1735" w:type="dxa"/>
            <w:vAlign w:val="center"/>
          </w:tcPr>
          <w:p>
            <w:pPr>
              <w:pStyle w:val="56"/>
              <w:widowControl w:val="0"/>
              <w:pBdr>
                <w:left w:val="none" w:color="auto" w:sz="0" w:space="0"/>
                <w:right w:val="none" w:color="auto" w:sz="0" w:space="0"/>
              </w:pBdr>
              <w:spacing w:before="0" w:beforeAutospacing="0" w:after="0" w:afterAutospacing="0" w:line="240" w:lineRule="atLeast"/>
              <w:rPr>
                <w:color w:val="000000" w:themeColor="text1"/>
                <w:kern w:val="2"/>
                <w:szCs w:val="24"/>
              </w:rPr>
            </w:pPr>
            <w:r>
              <w:rPr>
                <w:rFonts w:hint="eastAsia"/>
                <w:color w:val="000000" w:themeColor="text1"/>
                <w:kern w:val="2"/>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color w:val="000000" w:themeColor="text1"/>
                <w:sz w:val="24"/>
                <w:szCs w:val="24"/>
              </w:rPr>
            </w:pPr>
            <w:r>
              <w:rPr>
                <w:rFonts w:ascii="宋体" w:hAnsi="宋体"/>
                <w:color w:val="000000" w:themeColor="text1"/>
                <w:sz w:val="24"/>
                <w:szCs w:val="24"/>
              </w:rPr>
              <w:t>100</w:t>
            </w:r>
            <w:r>
              <w:rPr>
                <w:rFonts w:hint="eastAsia" w:ascii="宋体" w:hAnsi="宋体"/>
                <w:color w:val="000000" w:themeColor="text1"/>
                <w:sz w:val="24"/>
                <w:szCs w:val="24"/>
              </w:rPr>
              <w:t>以下</w:t>
            </w:r>
          </w:p>
        </w:tc>
        <w:tc>
          <w:tcPr>
            <w:tcW w:w="1798"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1.5%</w:t>
            </w:r>
          </w:p>
        </w:tc>
        <w:tc>
          <w:tcPr>
            <w:tcW w:w="186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1.5%</w:t>
            </w:r>
          </w:p>
        </w:tc>
        <w:tc>
          <w:tcPr>
            <w:tcW w:w="173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100-500</w:t>
            </w:r>
          </w:p>
        </w:tc>
        <w:tc>
          <w:tcPr>
            <w:tcW w:w="1798"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1.1%</w:t>
            </w:r>
          </w:p>
        </w:tc>
        <w:tc>
          <w:tcPr>
            <w:tcW w:w="186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0.8%</w:t>
            </w:r>
          </w:p>
        </w:tc>
        <w:tc>
          <w:tcPr>
            <w:tcW w:w="173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500-1000</w:t>
            </w:r>
          </w:p>
        </w:tc>
        <w:tc>
          <w:tcPr>
            <w:tcW w:w="1798"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0.8%</w:t>
            </w:r>
          </w:p>
        </w:tc>
        <w:tc>
          <w:tcPr>
            <w:tcW w:w="186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0.45%</w:t>
            </w:r>
          </w:p>
        </w:tc>
        <w:tc>
          <w:tcPr>
            <w:tcW w:w="173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1000-5000</w:t>
            </w:r>
          </w:p>
        </w:tc>
        <w:tc>
          <w:tcPr>
            <w:tcW w:w="1798"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0.5%</w:t>
            </w:r>
          </w:p>
        </w:tc>
        <w:tc>
          <w:tcPr>
            <w:tcW w:w="186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0.25%</w:t>
            </w:r>
          </w:p>
        </w:tc>
        <w:tc>
          <w:tcPr>
            <w:tcW w:w="173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5000-10000</w:t>
            </w:r>
          </w:p>
        </w:tc>
        <w:tc>
          <w:tcPr>
            <w:tcW w:w="1798"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0.25%</w:t>
            </w:r>
          </w:p>
        </w:tc>
        <w:tc>
          <w:tcPr>
            <w:tcW w:w="186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0.1%</w:t>
            </w:r>
          </w:p>
        </w:tc>
        <w:tc>
          <w:tcPr>
            <w:tcW w:w="173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10000-100000</w:t>
            </w:r>
          </w:p>
        </w:tc>
        <w:tc>
          <w:tcPr>
            <w:tcW w:w="1798"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0.05%</w:t>
            </w:r>
          </w:p>
        </w:tc>
        <w:tc>
          <w:tcPr>
            <w:tcW w:w="186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0.05%</w:t>
            </w:r>
          </w:p>
        </w:tc>
        <w:tc>
          <w:tcPr>
            <w:tcW w:w="173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color w:val="000000" w:themeColor="text1"/>
                <w:sz w:val="24"/>
                <w:szCs w:val="24"/>
              </w:rPr>
            </w:pPr>
            <w:r>
              <w:rPr>
                <w:rFonts w:ascii="宋体" w:hAnsi="宋体"/>
                <w:color w:val="000000" w:themeColor="text1"/>
                <w:sz w:val="24"/>
                <w:szCs w:val="24"/>
              </w:rPr>
              <w:t>1000000</w:t>
            </w:r>
            <w:r>
              <w:rPr>
                <w:rFonts w:hint="eastAsia" w:ascii="宋体" w:hAnsi="宋体"/>
                <w:color w:val="000000" w:themeColor="text1"/>
                <w:sz w:val="24"/>
                <w:szCs w:val="24"/>
              </w:rPr>
              <w:t>以上</w:t>
            </w:r>
          </w:p>
        </w:tc>
        <w:tc>
          <w:tcPr>
            <w:tcW w:w="1798"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0.01%</w:t>
            </w:r>
          </w:p>
        </w:tc>
        <w:tc>
          <w:tcPr>
            <w:tcW w:w="186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0.01%</w:t>
            </w:r>
          </w:p>
        </w:tc>
        <w:tc>
          <w:tcPr>
            <w:tcW w:w="1735" w:type="dxa"/>
            <w:vAlign w:val="center"/>
          </w:tcPr>
          <w:p>
            <w:pPr>
              <w:spacing w:line="240" w:lineRule="atLeast"/>
              <w:jc w:val="center"/>
              <w:rPr>
                <w:rFonts w:ascii="宋体" w:hAnsi="宋体"/>
                <w:color w:val="000000" w:themeColor="text1"/>
                <w:sz w:val="24"/>
                <w:szCs w:val="24"/>
              </w:rPr>
            </w:pPr>
            <w:r>
              <w:rPr>
                <w:rFonts w:ascii="宋体" w:hAnsi="宋体"/>
                <w:color w:val="000000" w:themeColor="text1"/>
                <w:sz w:val="24"/>
                <w:szCs w:val="24"/>
              </w:rPr>
              <w:t>0.01%</w:t>
            </w:r>
          </w:p>
        </w:tc>
      </w:tr>
    </w:tbl>
    <w:p>
      <w:pPr>
        <w:spacing w:line="400" w:lineRule="exact"/>
        <w:ind w:firstLine="480" w:firstLineChars="200"/>
        <w:jc w:val="left"/>
        <w:rPr>
          <w:rFonts w:ascii="宋体"/>
          <w:color w:val="000000" w:themeColor="text1"/>
          <w:sz w:val="24"/>
          <w:szCs w:val="24"/>
        </w:rPr>
      </w:pPr>
      <w:r>
        <w:rPr>
          <w:rFonts w:hint="eastAsia"/>
          <w:color w:val="000000" w:themeColor="text1"/>
          <w:sz w:val="24"/>
          <w:szCs w:val="24"/>
        </w:rPr>
        <w:t>注：招标服务收费按差额定率累进法计算。例如：某工程招标业务中标金额为</w:t>
      </w:r>
      <w:r>
        <w:rPr>
          <w:rFonts w:ascii="宋体" w:hAnsi="宋体"/>
          <w:color w:val="000000" w:themeColor="text1"/>
          <w:sz w:val="24"/>
          <w:szCs w:val="24"/>
        </w:rPr>
        <w:t>6000</w:t>
      </w:r>
      <w:r>
        <w:rPr>
          <w:rFonts w:hint="eastAsia" w:ascii="宋体" w:hAnsi="宋体"/>
          <w:color w:val="000000" w:themeColor="text1"/>
          <w:sz w:val="24"/>
          <w:szCs w:val="24"/>
        </w:rPr>
        <w:t>万元，计算招标服务收费额如下：</w:t>
      </w:r>
    </w:p>
    <w:p>
      <w:pPr>
        <w:spacing w:line="400" w:lineRule="exact"/>
        <w:ind w:firstLine="480" w:firstLineChars="200"/>
        <w:jc w:val="left"/>
        <w:rPr>
          <w:rFonts w:ascii="宋体"/>
          <w:color w:val="000000" w:themeColor="text1"/>
          <w:sz w:val="24"/>
          <w:szCs w:val="24"/>
        </w:rPr>
      </w:pPr>
      <w:r>
        <w:rPr>
          <w:rFonts w:ascii="宋体" w:hAnsi="宋体"/>
          <w:color w:val="000000" w:themeColor="text1"/>
          <w:sz w:val="24"/>
          <w:szCs w:val="24"/>
        </w:rPr>
        <w:t>100</w:t>
      </w:r>
      <w:r>
        <w:rPr>
          <w:rFonts w:hint="eastAsia" w:ascii="宋体" w:hAnsi="宋体"/>
          <w:color w:val="000000" w:themeColor="text1"/>
          <w:sz w:val="24"/>
          <w:szCs w:val="24"/>
        </w:rPr>
        <w:t>万元×</w:t>
      </w:r>
      <w:r>
        <w:rPr>
          <w:rFonts w:ascii="宋体" w:hAnsi="宋体"/>
          <w:color w:val="000000" w:themeColor="text1"/>
          <w:sz w:val="24"/>
          <w:szCs w:val="24"/>
        </w:rPr>
        <w:t>1.0%=1</w:t>
      </w:r>
      <w:r>
        <w:rPr>
          <w:rFonts w:hint="eastAsia" w:ascii="宋体" w:hAnsi="宋体"/>
          <w:color w:val="000000" w:themeColor="text1"/>
          <w:sz w:val="24"/>
          <w:szCs w:val="24"/>
        </w:rPr>
        <w:t>万元</w:t>
      </w:r>
    </w:p>
    <w:p>
      <w:pPr>
        <w:spacing w:line="400" w:lineRule="exact"/>
        <w:ind w:firstLine="480" w:firstLineChars="200"/>
        <w:jc w:val="lef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500-100</w:t>
      </w:r>
      <w:r>
        <w:rPr>
          <w:rFonts w:hint="eastAsia" w:ascii="宋体" w:hAnsi="宋体"/>
          <w:color w:val="000000" w:themeColor="text1"/>
          <w:sz w:val="24"/>
          <w:szCs w:val="24"/>
        </w:rPr>
        <w:t>）万元×</w:t>
      </w:r>
      <w:r>
        <w:rPr>
          <w:rFonts w:ascii="宋体" w:hAnsi="宋体"/>
          <w:color w:val="000000" w:themeColor="text1"/>
          <w:sz w:val="24"/>
          <w:szCs w:val="24"/>
        </w:rPr>
        <w:t>0.7%=2.8</w:t>
      </w:r>
      <w:r>
        <w:rPr>
          <w:rFonts w:hint="eastAsia" w:ascii="宋体" w:hAnsi="宋体"/>
          <w:color w:val="000000" w:themeColor="text1"/>
          <w:sz w:val="24"/>
          <w:szCs w:val="24"/>
        </w:rPr>
        <w:t>万元</w:t>
      </w:r>
    </w:p>
    <w:p>
      <w:pPr>
        <w:spacing w:line="400" w:lineRule="exact"/>
        <w:ind w:firstLine="480" w:firstLineChars="200"/>
        <w:jc w:val="lef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1000-500</w:t>
      </w:r>
      <w:r>
        <w:rPr>
          <w:rFonts w:hint="eastAsia" w:ascii="宋体" w:hAnsi="宋体"/>
          <w:color w:val="000000" w:themeColor="text1"/>
          <w:sz w:val="24"/>
          <w:szCs w:val="24"/>
        </w:rPr>
        <w:t>）×</w:t>
      </w:r>
      <w:r>
        <w:rPr>
          <w:rFonts w:ascii="宋体" w:hAnsi="宋体"/>
          <w:color w:val="000000" w:themeColor="text1"/>
          <w:sz w:val="24"/>
          <w:szCs w:val="24"/>
        </w:rPr>
        <w:t>0.55%=2.75</w:t>
      </w:r>
      <w:r>
        <w:rPr>
          <w:rFonts w:hint="eastAsia" w:ascii="宋体" w:hAnsi="宋体"/>
          <w:color w:val="000000" w:themeColor="text1"/>
          <w:sz w:val="24"/>
          <w:szCs w:val="24"/>
        </w:rPr>
        <w:t>万元</w:t>
      </w:r>
    </w:p>
    <w:p>
      <w:pPr>
        <w:spacing w:line="400" w:lineRule="exact"/>
        <w:ind w:firstLine="480" w:firstLineChars="200"/>
        <w:jc w:val="lef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5000-1000</w:t>
      </w:r>
      <w:r>
        <w:rPr>
          <w:rFonts w:hint="eastAsia" w:ascii="宋体" w:hAnsi="宋体"/>
          <w:color w:val="000000" w:themeColor="text1"/>
          <w:sz w:val="24"/>
          <w:szCs w:val="24"/>
        </w:rPr>
        <w:t>）×</w:t>
      </w:r>
      <w:r>
        <w:rPr>
          <w:rFonts w:ascii="宋体" w:hAnsi="宋体"/>
          <w:color w:val="000000" w:themeColor="text1"/>
          <w:sz w:val="24"/>
          <w:szCs w:val="24"/>
        </w:rPr>
        <w:t>0.35%=14</w:t>
      </w:r>
      <w:r>
        <w:rPr>
          <w:rFonts w:hint="eastAsia" w:ascii="宋体" w:hAnsi="宋体"/>
          <w:color w:val="000000" w:themeColor="text1"/>
          <w:sz w:val="24"/>
          <w:szCs w:val="24"/>
        </w:rPr>
        <w:t>万元</w:t>
      </w:r>
    </w:p>
    <w:p>
      <w:pPr>
        <w:spacing w:line="400" w:lineRule="exact"/>
        <w:ind w:firstLine="480" w:firstLineChars="200"/>
        <w:jc w:val="left"/>
        <w:rPr>
          <w:rFonts w:asci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6000-5000</w:t>
      </w:r>
      <w:r>
        <w:rPr>
          <w:rFonts w:hint="eastAsia" w:ascii="宋体" w:hAnsi="宋体"/>
          <w:color w:val="000000" w:themeColor="text1"/>
          <w:sz w:val="24"/>
          <w:szCs w:val="24"/>
        </w:rPr>
        <w:t>）×</w:t>
      </w:r>
      <w:r>
        <w:rPr>
          <w:rFonts w:ascii="宋体" w:hAnsi="宋体"/>
          <w:color w:val="000000" w:themeColor="text1"/>
          <w:sz w:val="24"/>
          <w:szCs w:val="24"/>
        </w:rPr>
        <w:t>0.2%=2</w:t>
      </w:r>
      <w:r>
        <w:rPr>
          <w:rFonts w:hint="eastAsia" w:ascii="宋体" w:hAnsi="宋体"/>
          <w:color w:val="000000" w:themeColor="text1"/>
          <w:sz w:val="24"/>
          <w:szCs w:val="24"/>
        </w:rPr>
        <w:t>万元</w:t>
      </w:r>
    </w:p>
    <w:p>
      <w:pPr>
        <w:spacing w:line="400" w:lineRule="exact"/>
        <w:ind w:firstLine="480" w:firstLineChars="200"/>
        <w:jc w:val="left"/>
        <w:rPr>
          <w:rFonts w:ascii="宋体"/>
          <w:color w:val="000000" w:themeColor="text1"/>
          <w:sz w:val="24"/>
          <w:szCs w:val="24"/>
        </w:rPr>
      </w:pPr>
      <w:r>
        <w:rPr>
          <w:rFonts w:hint="eastAsia" w:ascii="宋体" w:hAnsi="宋体"/>
          <w:color w:val="000000" w:themeColor="text1"/>
          <w:sz w:val="24"/>
          <w:szCs w:val="24"/>
        </w:rPr>
        <w:t>合计收费</w:t>
      </w:r>
      <w:r>
        <w:rPr>
          <w:rFonts w:ascii="宋体" w:hAnsi="宋体"/>
          <w:color w:val="000000" w:themeColor="text1"/>
          <w:sz w:val="24"/>
          <w:szCs w:val="24"/>
        </w:rPr>
        <w:t>=1+2.8+2.75+14+2=22.55</w:t>
      </w:r>
      <w:r>
        <w:rPr>
          <w:rFonts w:hint="eastAsia" w:ascii="宋体" w:hAnsi="宋体"/>
          <w:color w:val="000000" w:themeColor="text1"/>
          <w:sz w:val="24"/>
          <w:szCs w:val="24"/>
        </w:rPr>
        <w:t>（万元）</w:t>
      </w:r>
    </w:p>
    <w:p>
      <w:pPr>
        <w:spacing w:line="400" w:lineRule="exact"/>
        <w:ind w:firstLine="480" w:firstLineChars="200"/>
        <w:jc w:val="left"/>
        <w:rPr>
          <w:color w:val="000000" w:themeColor="text1"/>
          <w:sz w:val="24"/>
          <w:szCs w:val="24"/>
        </w:rPr>
      </w:pPr>
      <w:r>
        <w:rPr>
          <w:rFonts w:hint="eastAsia"/>
          <w:color w:val="000000" w:themeColor="text1"/>
          <w:sz w:val="24"/>
          <w:szCs w:val="24"/>
        </w:rPr>
        <w:t>（二）招标服务费缴纳账号：</w:t>
      </w:r>
    </w:p>
    <w:p>
      <w:pPr>
        <w:spacing w:line="400" w:lineRule="exact"/>
        <w:ind w:firstLine="480" w:firstLineChars="200"/>
        <w:jc w:val="left"/>
        <w:rPr>
          <w:color w:val="000000" w:themeColor="text1"/>
          <w:sz w:val="24"/>
          <w:szCs w:val="24"/>
        </w:rPr>
      </w:pPr>
      <w:r>
        <w:rPr>
          <w:rFonts w:hint="eastAsia"/>
          <w:color w:val="000000" w:themeColor="text1"/>
          <w:sz w:val="24"/>
          <w:szCs w:val="24"/>
        </w:rPr>
        <w:t>户名：长江师范学院。</w:t>
      </w:r>
    </w:p>
    <w:p>
      <w:pPr>
        <w:spacing w:line="400" w:lineRule="exact"/>
        <w:ind w:firstLine="480" w:firstLineChars="200"/>
        <w:jc w:val="left"/>
        <w:rPr>
          <w:color w:val="000000" w:themeColor="text1"/>
          <w:sz w:val="24"/>
          <w:szCs w:val="24"/>
        </w:rPr>
      </w:pPr>
      <w:r>
        <w:rPr>
          <w:rFonts w:hint="eastAsia"/>
          <w:color w:val="000000" w:themeColor="text1"/>
          <w:sz w:val="24"/>
          <w:szCs w:val="24"/>
        </w:rPr>
        <w:t>开户行：重庆农村商业银行涪陵支行李渡分理处。</w:t>
      </w:r>
    </w:p>
    <w:p>
      <w:pPr>
        <w:spacing w:line="400" w:lineRule="exact"/>
        <w:ind w:firstLine="480" w:firstLineChars="200"/>
        <w:jc w:val="left"/>
        <w:rPr>
          <w:rFonts w:ascii="宋体"/>
          <w:color w:val="000000" w:themeColor="text1"/>
          <w:sz w:val="24"/>
          <w:szCs w:val="24"/>
        </w:rPr>
      </w:pPr>
      <w:r>
        <w:rPr>
          <w:rFonts w:hint="eastAsia"/>
          <w:color w:val="000000" w:themeColor="text1"/>
          <w:sz w:val="24"/>
          <w:szCs w:val="24"/>
        </w:rPr>
        <w:t>账号</w:t>
      </w:r>
      <w:r>
        <w:rPr>
          <w:rFonts w:hint="eastAsia" w:ascii="宋体" w:hAnsi="宋体"/>
          <w:color w:val="000000" w:themeColor="text1"/>
          <w:sz w:val="24"/>
          <w:szCs w:val="24"/>
        </w:rPr>
        <w:t>：</w:t>
      </w:r>
      <w:r>
        <w:rPr>
          <w:rFonts w:ascii="宋体" w:hAnsi="宋体"/>
          <w:color w:val="000000" w:themeColor="text1"/>
          <w:sz w:val="24"/>
          <w:szCs w:val="24"/>
        </w:rPr>
        <w:t>2406080120010001028</w:t>
      </w:r>
      <w:r>
        <w:rPr>
          <w:rFonts w:hint="eastAsia" w:ascii="宋体" w:hAnsi="宋体"/>
          <w:color w:val="000000" w:themeColor="text1"/>
          <w:sz w:val="24"/>
          <w:szCs w:val="24"/>
        </w:rPr>
        <w:t>。</w:t>
      </w:r>
    </w:p>
    <w:p>
      <w:pPr>
        <w:pStyle w:val="3"/>
        <w:spacing w:before="0" w:after="0"/>
        <w:ind w:firstLine="562" w:firstLineChars="200"/>
        <w:rPr>
          <w:color w:val="000000" w:themeColor="text1"/>
          <w:sz w:val="28"/>
          <w:szCs w:val="28"/>
        </w:rPr>
      </w:pPr>
      <w:bookmarkStart w:id="69" w:name="_Toc186919425"/>
      <w:bookmarkStart w:id="70" w:name="_Toc21533"/>
      <w:r>
        <w:rPr>
          <w:rFonts w:hint="eastAsia"/>
          <w:color w:val="000000" w:themeColor="text1"/>
          <w:sz w:val="28"/>
          <w:szCs w:val="28"/>
        </w:rPr>
        <w:t>十一、签订合同</w:t>
      </w:r>
      <w:bookmarkEnd w:id="69"/>
      <w:bookmarkEnd w:id="70"/>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采购人应当自中标通知书发出之日起三十日内，按照招标文件和中标人投标文件的约定，与中标人签订书面合同。所签订的合同不得对招标文件和中标人投标文件作实质性修改。</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采购人应当自合同签订之日起</w:t>
      </w:r>
      <w:r>
        <w:rPr>
          <w:color w:val="000000" w:themeColor="text1"/>
          <w:sz w:val="24"/>
          <w:szCs w:val="24"/>
        </w:rPr>
        <w:t>2</w:t>
      </w:r>
      <w:r>
        <w:rPr>
          <w:rFonts w:hint="eastAsia"/>
          <w:color w:val="000000" w:themeColor="text1"/>
          <w:sz w:val="24"/>
          <w:szCs w:val="24"/>
        </w:rPr>
        <w:t>个工作日内，将采购合同在长江师范学院网（</w:t>
      </w:r>
      <w:r>
        <w:rPr>
          <w:color w:val="000000" w:themeColor="text1"/>
          <w:sz w:val="24"/>
          <w:szCs w:val="24"/>
        </w:rPr>
        <w:t>http://www.yznu.cn</w:t>
      </w:r>
      <w:r>
        <w:rPr>
          <w:rFonts w:hint="eastAsia"/>
          <w:color w:val="000000" w:themeColor="text1"/>
          <w:sz w:val="24"/>
          <w:szCs w:val="24"/>
        </w:rPr>
        <w:t>）上公告，但合同中涉及学校秘密、商业秘密的内容除外。</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招标文件、中标人的投标文件及澄清文件等，均为签订合同的依据。</w:t>
      </w:r>
    </w:p>
    <w:p>
      <w:pPr>
        <w:spacing w:line="400" w:lineRule="exact"/>
        <w:ind w:firstLine="480" w:firstLineChars="200"/>
        <w:jc w:val="left"/>
        <w:rPr>
          <w:color w:val="000000" w:themeColor="text1"/>
          <w:sz w:val="24"/>
          <w:szCs w:val="24"/>
        </w:rPr>
      </w:pPr>
      <w:r>
        <w:rPr>
          <w:color w:val="000000" w:themeColor="text1"/>
          <w:sz w:val="24"/>
          <w:szCs w:val="24"/>
        </w:rPr>
        <w:t>4.</w:t>
      </w:r>
      <w:r>
        <w:rPr>
          <w:rFonts w:hint="eastAsia"/>
          <w:color w:val="000000" w:themeColor="text1"/>
          <w:sz w:val="24"/>
          <w:szCs w:val="24"/>
        </w:rPr>
        <w:t>合同生效条款由供需双方约定，法律、行政法规规定应当办理批准、登记等手续后生效的合同，依照其规定。</w:t>
      </w:r>
    </w:p>
    <w:p>
      <w:pPr>
        <w:spacing w:line="400" w:lineRule="exact"/>
        <w:ind w:firstLine="480" w:firstLineChars="200"/>
        <w:jc w:val="left"/>
        <w:rPr>
          <w:color w:val="000000" w:themeColor="text1"/>
          <w:sz w:val="24"/>
          <w:szCs w:val="24"/>
        </w:rPr>
      </w:pPr>
      <w:r>
        <w:rPr>
          <w:color w:val="000000" w:themeColor="text1"/>
          <w:sz w:val="24"/>
          <w:szCs w:val="24"/>
        </w:rPr>
        <w:t>5.</w:t>
      </w:r>
      <w:r>
        <w:rPr>
          <w:rFonts w:hint="eastAsia"/>
          <w:color w:val="000000" w:themeColor="text1"/>
          <w:sz w:val="24"/>
          <w:szCs w:val="24"/>
        </w:rPr>
        <w:t>合同原则上应按照《长江师范学院南苑食府、接待中心联合经营管理合同》签订。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jc w:val="left"/>
        <w:rPr>
          <w:color w:val="000000" w:themeColor="text1"/>
          <w:sz w:val="24"/>
          <w:szCs w:val="24"/>
        </w:rPr>
      </w:pPr>
      <w:r>
        <w:rPr>
          <w:color w:val="000000" w:themeColor="text1"/>
          <w:sz w:val="24"/>
          <w:szCs w:val="24"/>
        </w:rPr>
        <w:t>6.</w:t>
      </w:r>
      <w:r>
        <w:rPr>
          <w:rFonts w:hint="eastAsia"/>
          <w:color w:val="000000" w:themeColor="text1"/>
          <w:sz w:val="24"/>
          <w:szCs w:val="24"/>
        </w:rPr>
        <w:t>采购人要求中标人提供履约保证金的，应当在招标文件中予以约定。中标人履约完毕后，采购人应于五日内无息退还其履约保证金。</w:t>
      </w: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bookmarkStart w:id="71" w:name="_Toc186919426"/>
    </w:p>
    <w:p/>
    <w:p/>
    <w:p/>
    <w:p>
      <w:pPr>
        <w:pStyle w:val="2"/>
        <w:spacing w:before="0" w:after="0"/>
        <w:ind w:firstLine="1968" w:firstLineChars="700"/>
        <w:rPr>
          <w:color w:val="000000" w:themeColor="text1"/>
          <w:sz w:val="28"/>
          <w:szCs w:val="28"/>
        </w:rPr>
      </w:pPr>
      <w:bookmarkStart w:id="72" w:name="_Toc16766"/>
      <w:r>
        <w:rPr>
          <w:rFonts w:hint="eastAsia"/>
          <w:color w:val="000000" w:themeColor="text1"/>
          <w:sz w:val="28"/>
          <w:szCs w:val="28"/>
        </w:rPr>
        <w:t>第五篇合同主要条款、格式合同</w:t>
      </w:r>
      <w:bookmarkEnd w:id="71"/>
      <w:bookmarkEnd w:id="72"/>
    </w:p>
    <w:p>
      <w:pPr>
        <w:keepNext/>
        <w:keepLines/>
        <w:pageBreakBefore/>
        <w:spacing w:before="260" w:after="260" w:line="416" w:lineRule="auto"/>
        <w:jc w:val="center"/>
        <w:outlineLvl w:val="1"/>
        <w:rPr>
          <w:rFonts w:ascii="Calibri Light" w:hAnsi="Calibri Light"/>
          <w:b/>
          <w:bCs/>
          <w:color w:val="000000" w:themeColor="text1"/>
          <w:kern w:val="0"/>
          <w:sz w:val="24"/>
          <w:szCs w:val="24"/>
        </w:rPr>
      </w:pPr>
      <w:bookmarkStart w:id="73" w:name="_Toc22149"/>
      <w:r>
        <w:rPr>
          <w:rFonts w:hint="eastAsia" w:ascii="Calibri Light" w:hAnsi="Calibri Light"/>
          <w:b/>
          <w:bCs/>
          <w:color w:val="000000" w:themeColor="text1"/>
          <w:kern w:val="0"/>
          <w:sz w:val="24"/>
          <w:szCs w:val="24"/>
        </w:rPr>
        <w:t>长江师范学院南苑食府、接待中心联合经营管理合同</w:t>
      </w:r>
      <w:bookmarkEnd w:id="73"/>
    </w:p>
    <w:p>
      <w:pPr>
        <w:spacing w:line="360" w:lineRule="auto"/>
        <w:rPr>
          <w:b/>
          <w:bCs/>
          <w:color w:val="000000" w:themeColor="text1"/>
          <w:sz w:val="24"/>
          <w:szCs w:val="15"/>
        </w:rPr>
      </w:pPr>
      <w:r>
        <w:rPr>
          <w:rFonts w:hint="eastAsia"/>
          <w:b/>
          <w:bCs/>
          <w:color w:val="000000" w:themeColor="text1"/>
          <w:sz w:val="24"/>
        </w:rPr>
        <w:t>甲方：</w:t>
      </w:r>
      <w:r>
        <w:rPr>
          <w:rFonts w:hint="eastAsia"/>
          <w:b/>
          <w:bCs/>
          <w:color w:val="000000" w:themeColor="text1"/>
          <w:sz w:val="24"/>
          <w:szCs w:val="15"/>
        </w:rPr>
        <w:t>长江师范学院</w:t>
      </w:r>
    </w:p>
    <w:p>
      <w:pPr>
        <w:spacing w:line="360" w:lineRule="auto"/>
        <w:rPr>
          <w:bCs/>
          <w:color w:val="000000" w:themeColor="text1"/>
          <w:kern w:val="0"/>
          <w:sz w:val="24"/>
          <w:szCs w:val="15"/>
        </w:rPr>
      </w:pPr>
      <w:r>
        <w:rPr>
          <w:rFonts w:hint="eastAsia"/>
          <w:bCs/>
          <w:color w:val="000000" w:themeColor="text1"/>
          <w:sz w:val="24"/>
        </w:rPr>
        <w:t>甲</w:t>
      </w:r>
      <w:r>
        <w:rPr>
          <w:rFonts w:hint="eastAsia"/>
          <w:bCs/>
          <w:color w:val="000000" w:themeColor="text1"/>
          <w:kern w:val="0"/>
          <w:sz w:val="24"/>
          <w:szCs w:val="15"/>
        </w:rPr>
        <w:t>方组织机构代码证编号：</w:t>
      </w:r>
    </w:p>
    <w:p>
      <w:pPr>
        <w:spacing w:line="360" w:lineRule="auto"/>
        <w:rPr>
          <w:bCs/>
          <w:color w:val="000000" w:themeColor="text1"/>
          <w:kern w:val="0"/>
          <w:sz w:val="24"/>
          <w:szCs w:val="15"/>
        </w:rPr>
      </w:pPr>
      <w:r>
        <w:rPr>
          <w:rFonts w:hint="eastAsia"/>
          <w:bCs/>
          <w:color w:val="000000" w:themeColor="text1"/>
          <w:sz w:val="24"/>
        </w:rPr>
        <w:t>甲</w:t>
      </w:r>
      <w:r>
        <w:rPr>
          <w:rFonts w:hint="eastAsia"/>
          <w:bCs/>
          <w:color w:val="000000" w:themeColor="text1"/>
          <w:kern w:val="0"/>
          <w:sz w:val="24"/>
          <w:szCs w:val="15"/>
        </w:rPr>
        <w:t>方法定代表人：身份证号码：</w:t>
      </w:r>
    </w:p>
    <w:p>
      <w:pPr>
        <w:spacing w:line="460" w:lineRule="exact"/>
        <w:rPr>
          <w:bCs/>
          <w:color w:val="000000" w:themeColor="text1"/>
          <w:kern w:val="0"/>
          <w:sz w:val="24"/>
          <w:szCs w:val="15"/>
        </w:rPr>
      </w:pPr>
      <w:r>
        <w:rPr>
          <w:rFonts w:hint="eastAsia"/>
          <w:bCs/>
          <w:color w:val="000000" w:themeColor="text1"/>
          <w:sz w:val="24"/>
        </w:rPr>
        <w:t>甲</w:t>
      </w:r>
      <w:r>
        <w:rPr>
          <w:rFonts w:hint="eastAsia"/>
          <w:bCs/>
          <w:color w:val="000000" w:themeColor="text1"/>
          <w:kern w:val="0"/>
          <w:sz w:val="24"/>
          <w:szCs w:val="15"/>
        </w:rPr>
        <w:t>方法定代表人授权委托人：身份证号码：</w:t>
      </w:r>
    </w:p>
    <w:p>
      <w:pPr>
        <w:spacing w:line="360" w:lineRule="auto"/>
        <w:jc w:val="left"/>
        <w:rPr>
          <w:b/>
          <w:bCs/>
          <w:color w:val="000000" w:themeColor="text1"/>
          <w:sz w:val="24"/>
          <w:szCs w:val="15"/>
        </w:rPr>
      </w:pPr>
    </w:p>
    <w:p>
      <w:pPr>
        <w:spacing w:line="360" w:lineRule="auto"/>
        <w:jc w:val="left"/>
        <w:rPr>
          <w:b/>
          <w:bCs/>
          <w:color w:val="000000" w:themeColor="text1"/>
          <w:sz w:val="24"/>
        </w:rPr>
      </w:pPr>
      <w:r>
        <w:rPr>
          <w:rFonts w:hint="eastAsia"/>
          <w:b/>
          <w:bCs/>
          <w:color w:val="000000" w:themeColor="text1"/>
          <w:sz w:val="24"/>
          <w:szCs w:val="15"/>
        </w:rPr>
        <w:t>乙方：</w:t>
      </w:r>
    </w:p>
    <w:p>
      <w:pPr>
        <w:spacing w:line="360" w:lineRule="auto"/>
        <w:rPr>
          <w:bCs/>
          <w:color w:val="000000" w:themeColor="text1"/>
          <w:kern w:val="0"/>
          <w:sz w:val="24"/>
          <w:szCs w:val="15"/>
        </w:rPr>
      </w:pPr>
      <w:r>
        <w:rPr>
          <w:rFonts w:hint="eastAsia"/>
          <w:bCs/>
          <w:color w:val="000000" w:themeColor="text1"/>
          <w:kern w:val="0"/>
          <w:sz w:val="24"/>
          <w:szCs w:val="15"/>
        </w:rPr>
        <w:t>乙方营业执照编号：组织机构代码证编号：</w:t>
      </w:r>
    </w:p>
    <w:p>
      <w:pPr>
        <w:spacing w:line="360" w:lineRule="auto"/>
        <w:rPr>
          <w:bCs/>
          <w:color w:val="000000" w:themeColor="text1"/>
          <w:kern w:val="0"/>
          <w:sz w:val="24"/>
          <w:szCs w:val="15"/>
        </w:rPr>
      </w:pPr>
      <w:r>
        <w:rPr>
          <w:rFonts w:hint="eastAsia"/>
          <w:bCs/>
          <w:color w:val="000000" w:themeColor="text1"/>
          <w:kern w:val="0"/>
          <w:sz w:val="24"/>
          <w:szCs w:val="15"/>
        </w:rPr>
        <w:t>乙方法定代表人：身份证号码：</w:t>
      </w:r>
    </w:p>
    <w:p>
      <w:pPr>
        <w:spacing w:line="460" w:lineRule="exact"/>
        <w:rPr>
          <w:bCs/>
          <w:color w:val="000000" w:themeColor="text1"/>
          <w:kern w:val="0"/>
          <w:sz w:val="24"/>
          <w:szCs w:val="15"/>
        </w:rPr>
      </w:pPr>
      <w:r>
        <w:rPr>
          <w:rFonts w:hint="eastAsia"/>
          <w:bCs/>
          <w:color w:val="000000" w:themeColor="text1"/>
          <w:kern w:val="0"/>
          <w:sz w:val="24"/>
          <w:szCs w:val="15"/>
        </w:rPr>
        <w:t>乙方法定代表人授权委托人：身份证号码：</w:t>
      </w:r>
    </w:p>
    <w:p>
      <w:pPr>
        <w:spacing w:line="360" w:lineRule="auto"/>
        <w:rPr>
          <w:color w:val="000000" w:themeColor="text1"/>
          <w:sz w:val="10"/>
          <w:szCs w:val="10"/>
        </w:rPr>
      </w:pPr>
      <w:r>
        <w:rPr>
          <w:rFonts w:hint="eastAsia"/>
          <w:color w:val="000000" w:themeColor="text1"/>
          <w:sz w:val="24"/>
        </w:rPr>
        <w:t>　　　　　　　　　　　　　　　　　　　　　　　　　　　　　　</w:t>
      </w:r>
    </w:p>
    <w:p>
      <w:pPr>
        <w:ind w:firstLine="420" w:firstLineChars="200"/>
        <w:rPr>
          <w:rFonts w:ascii="宋体"/>
          <w:color w:val="000000" w:themeColor="text1"/>
          <w:kern w:val="0"/>
          <w:szCs w:val="21"/>
        </w:rPr>
      </w:pPr>
      <w:r>
        <w:rPr>
          <w:rFonts w:hint="eastAsia" w:ascii="宋体" w:hAnsi="宋体"/>
          <w:color w:val="000000" w:themeColor="text1"/>
          <w:szCs w:val="21"/>
        </w:rPr>
        <w:t>甲、乙双方根据《中华人民共和国合同法》</w:t>
      </w:r>
      <w:r>
        <w:rPr>
          <w:rFonts w:hint="eastAsia" w:ascii="宋体" w:hAnsi="宋体"/>
          <w:color w:val="000000" w:themeColor="text1"/>
          <w:kern w:val="0"/>
          <w:szCs w:val="21"/>
        </w:rPr>
        <w:t>及有关法律法规规定，就长江师范学院南苑食府、接待中心食堂（以下简称食堂）联合经营管理的有关事宜达成如下合同并共同遵守。</w:t>
      </w:r>
    </w:p>
    <w:p>
      <w:pPr>
        <w:jc w:val="center"/>
        <w:rPr>
          <w:rFonts w:ascii="宋体"/>
          <w:b/>
          <w:color w:val="000000" w:themeColor="text1"/>
          <w:sz w:val="28"/>
          <w:szCs w:val="28"/>
        </w:rPr>
      </w:pPr>
      <w:r>
        <w:rPr>
          <w:rFonts w:hint="eastAsia" w:ascii="宋体" w:hAnsi="宋体"/>
          <w:b/>
          <w:color w:val="000000" w:themeColor="text1"/>
          <w:sz w:val="28"/>
          <w:szCs w:val="28"/>
        </w:rPr>
        <w:t>第一部分基本内容</w:t>
      </w:r>
    </w:p>
    <w:p>
      <w:pPr>
        <w:ind w:firstLine="422" w:firstLineChars="200"/>
        <w:rPr>
          <w:rFonts w:ascii="宋体"/>
          <w:bCs/>
          <w:color w:val="000000" w:themeColor="text1"/>
          <w:kern w:val="0"/>
          <w:szCs w:val="21"/>
        </w:rPr>
      </w:pPr>
      <w:r>
        <w:rPr>
          <w:rFonts w:hint="eastAsia" w:ascii="宋体" w:hAnsi="宋体"/>
          <w:b/>
          <w:bCs/>
          <w:color w:val="000000" w:themeColor="text1"/>
          <w:kern w:val="0"/>
          <w:szCs w:val="21"/>
        </w:rPr>
        <w:t>第一条</w:t>
      </w:r>
      <w:r>
        <w:rPr>
          <w:rFonts w:hint="eastAsia" w:ascii="宋体" w:hAnsi="宋体"/>
          <w:bCs/>
          <w:color w:val="000000" w:themeColor="text1"/>
          <w:kern w:val="0"/>
          <w:szCs w:val="21"/>
        </w:rPr>
        <w:t>本合同约定联合经营地点为：长江师范学院南苑食府、接待中心。</w:t>
      </w:r>
    </w:p>
    <w:p>
      <w:pPr>
        <w:ind w:firstLine="422" w:firstLineChars="200"/>
        <w:rPr>
          <w:rFonts w:ascii="宋体" w:hAnsi="宋体"/>
          <w:bCs/>
          <w:color w:val="000000" w:themeColor="text1"/>
          <w:kern w:val="0"/>
          <w:szCs w:val="21"/>
        </w:rPr>
      </w:pPr>
      <w:r>
        <w:rPr>
          <w:rFonts w:hint="eastAsia" w:ascii="宋体" w:hAnsi="宋体"/>
          <w:b/>
          <w:color w:val="000000" w:themeColor="text1"/>
          <w:szCs w:val="21"/>
        </w:rPr>
        <w:t>第二条</w:t>
      </w:r>
      <w:r>
        <w:rPr>
          <w:rFonts w:hint="eastAsia" w:ascii="宋体" w:hAnsi="宋体"/>
          <w:color w:val="000000" w:themeColor="text1"/>
          <w:szCs w:val="21"/>
        </w:rPr>
        <w:t>合同期限为8年，即从2018年 月 日起至</w:t>
      </w:r>
      <w:r>
        <w:rPr>
          <w:rFonts w:ascii="宋体" w:hAnsi="宋体"/>
          <w:color w:val="000000" w:themeColor="text1"/>
          <w:szCs w:val="21"/>
        </w:rPr>
        <w:t xml:space="preserve"> 202</w:t>
      </w:r>
      <w:r>
        <w:rPr>
          <w:rFonts w:hint="eastAsia" w:ascii="宋体" w:hAnsi="宋体"/>
          <w:color w:val="000000" w:themeColor="text1"/>
          <w:szCs w:val="21"/>
        </w:rPr>
        <w:t>6年 月 日止。乙方承诺按照经学校审批签字</w:t>
      </w:r>
      <w:r>
        <w:rPr>
          <w:rFonts w:hint="eastAsia" w:ascii="宋体" w:hAnsi="宋体"/>
          <w:szCs w:val="21"/>
        </w:rPr>
        <w:t>通过</w:t>
      </w:r>
      <w:r>
        <w:rPr>
          <w:rFonts w:hint="eastAsia" w:ascii="宋体" w:hAnsi="宋体"/>
          <w:color w:val="000000" w:themeColor="text1"/>
          <w:szCs w:val="21"/>
        </w:rPr>
        <w:t>的装修改造方案（包括消防改造，下同）和首期投资总金额对联合经营食堂进行装修改造，南苑食府和接待中心须于2018年8月31日前完成装修并做好相关开业准备，2018年9月1日工作正式营业。</w:t>
      </w:r>
      <w:r>
        <w:rPr>
          <w:rFonts w:hint="eastAsia" w:ascii="宋体" w:hAnsi="宋体"/>
          <w:bCs/>
          <w:color w:val="000000" w:themeColor="text1"/>
          <w:kern w:val="0"/>
          <w:szCs w:val="21"/>
        </w:rPr>
        <w:t>如未能如期完成甲方将扣除乙方的履约保证金及装修保证金。</w:t>
      </w:r>
    </w:p>
    <w:p>
      <w:pPr>
        <w:ind w:firstLine="420" w:firstLineChars="200"/>
        <w:rPr>
          <w:rFonts w:ascii="宋体"/>
          <w:bCs/>
          <w:color w:val="000000" w:themeColor="text1"/>
          <w:kern w:val="0"/>
          <w:szCs w:val="21"/>
        </w:rPr>
      </w:pPr>
      <w:r>
        <w:rPr>
          <w:rFonts w:hint="eastAsia" w:ascii="宋体" w:hAnsi="宋体"/>
          <w:bCs/>
          <w:color w:val="000000" w:themeColor="text1"/>
          <w:kern w:val="0"/>
          <w:szCs w:val="21"/>
        </w:rPr>
        <w:t>延展期限：本合同期满后，由甲方组织校内相关部门人员，对乙方的经营状况进行合同期满考核。若合同期满考核</w:t>
      </w:r>
      <w:r>
        <w:rPr>
          <w:rFonts w:hint="eastAsia" w:ascii="宋体" w:hAnsi="宋体"/>
          <w:color w:val="000000" w:themeColor="text1"/>
          <w:szCs w:val="21"/>
        </w:rPr>
        <w:t>满意度达到80%及以上，</w:t>
      </w:r>
      <w:r>
        <w:rPr>
          <w:rFonts w:hint="eastAsia" w:ascii="宋体" w:hAnsi="宋体"/>
          <w:bCs/>
          <w:color w:val="000000" w:themeColor="text1"/>
          <w:kern w:val="0"/>
          <w:szCs w:val="21"/>
        </w:rPr>
        <w:t>甲方可与乙方续签延展期为2年的联合经营管理合同</w:t>
      </w:r>
      <w:r>
        <w:rPr>
          <w:rFonts w:ascii="宋体" w:hAnsi="宋体"/>
          <w:bCs/>
          <w:color w:val="000000" w:themeColor="text1"/>
          <w:kern w:val="0"/>
          <w:szCs w:val="21"/>
        </w:rPr>
        <w:t xml:space="preserve">, </w:t>
      </w:r>
      <w:r>
        <w:rPr>
          <w:rFonts w:hint="eastAsia" w:ascii="宋体" w:hAnsi="宋体"/>
          <w:bCs/>
          <w:color w:val="000000" w:themeColor="text1"/>
          <w:kern w:val="0"/>
          <w:szCs w:val="21"/>
        </w:rPr>
        <w:t>延展期满本合同自然终止；若合同期满考核满意度低于</w:t>
      </w:r>
      <w:r>
        <w:rPr>
          <w:rFonts w:ascii="宋体" w:hAnsi="宋体"/>
          <w:bCs/>
          <w:color w:val="000000" w:themeColor="text1"/>
          <w:kern w:val="0"/>
          <w:szCs w:val="21"/>
        </w:rPr>
        <w:t>80%</w:t>
      </w:r>
      <w:r>
        <w:rPr>
          <w:rFonts w:hint="eastAsia" w:ascii="宋体" w:hAnsi="宋体"/>
          <w:bCs/>
          <w:color w:val="000000" w:themeColor="text1"/>
          <w:kern w:val="0"/>
          <w:szCs w:val="21"/>
        </w:rPr>
        <w:t>，则本合同自然终止。延展期内的联合经营管理费除按原合同约定方式和金额提取外，甲方再按照上一年所联合经营管理费的</w:t>
      </w:r>
      <w:r>
        <w:rPr>
          <w:rFonts w:ascii="宋体" w:hAnsi="宋体"/>
          <w:bCs/>
          <w:color w:val="000000" w:themeColor="text1"/>
          <w:kern w:val="0"/>
          <w:szCs w:val="21"/>
        </w:rPr>
        <w:t>10%</w:t>
      </w:r>
      <w:r>
        <w:rPr>
          <w:rFonts w:hint="eastAsia" w:ascii="宋体" w:hAnsi="宋体"/>
          <w:bCs/>
          <w:color w:val="000000" w:themeColor="text1"/>
          <w:kern w:val="0"/>
          <w:szCs w:val="21"/>
        </w:rPr>
        <w:t>递增收取（若计提的联合经营管理费低于年保底费，则按照年保底费的</w:t>
      </w:r>
      <w:r>
        <w:rPr>
          <w:rFonts w:ascii="宋体" w:hAnsi="宋体"/>
          <w:bCs/>
          <w:color w:val="000000" w:themeColor="text1"/>
          <w:kern w:val="0"/>
          <w:szCs w:val="21"/>
        </w:rPr>
        <w:t>10%</w:t>
      </w:r>
      <w:r>
        <w:rPr>
          <w:rFonts w:hint="eastAsia" w:ascii="宋体" w:hAnsi="宋体"/>
          <w:bCs/>
          <w:color w:val="000000" w:themeColor="text1"/>
          <w:kern w:val="0"/>
          <w:szCs w:val="21"/>
        </w:rPr>
        <w:t>递增收取）。</w:t>
      </w:r>
    </w:p>
    <w:p>
      <w:pPr>
        <w:ind w:firstLine="422" w:firstLineChars="200"/>
        <w:rPr>
          <w:rFonts w:ascii="宋体"/>
          <w:bCs/>
          <w:color w:val="000000" w:themeColor="text1"/>
          <w:kern w:val="0"/>
          <w:szCs w:val="21"/>
        </w:rPr>
      </w:pPr>
      <w:r>
        <w:rPr>
          <w:rFonts w:hint="eastAsia" w:ascii="宋体" w:hAnsi="宋体"/>
          <w:b/>
          <w:bCs/>
          <w:color w:val="000000" w:themeColor="text1"/>
          <w:kern w:val="0"/>
          <w:szCs w:val="21"/>
        </w:rPr>
        <w:t>第三条</w:t>
      </w:r>
      <w:r>
        <w:rPr>
          <w:rFonts w:hint="eastAsia" w:ascii="宋体" w:hAnsi="宋体"/>
          <w:bCs/>
          <w:color w:val="000000" w:themeColor="text1"/>
          <w:kern w:val="0"/>
          <w:szCs w:val="21"/>
        </w:rPr>
        <w:t>乙方使用甲方食堂原有设施设备清单见本合同附件。</w:t>
      </w:r>
    </w:p>
    <w:p>
      <w:pPr>
        <w:jc w:val="center"/>
        <w:rPr>
          <w:rFonts w:ascii="宋体"/>
          <w:b/>
          <w:color w:val="000000" w:themeColor="text1"/>
          <w:sz w:val="28"/>
          <w:szCs w:val="28"/>
        </w:rPr>
      </w:pPr>
      <w:r>
        <w:rPr>
          <w:rFonts w:hint="eastAsia" w:ascii="宋体" w:hAnsi="宋体"/>
          <w:b/>
          <w:color w:val="000000" w:themeColor="text1"/>
          <w:sz w:val="28"/>
          <w:szCs w:val="28"/>
        </w:rPr>
        <w:t>第二部分相关费用</w:t>
      </w:r>
    </w:p>
    <w:p>
      <w:pPr>
        <w:ind w:firstLine="422" w:firstLineChars="200"/>
        <w:rPr>
          <w:rFonts w:ascii="宋体" w:hAnsi="宋体"/>
          <w:bCs/>
          <w:color w:val="000000" w:themeColor="text1"/>
          <w:kern w:val="0"/>
          <w:szCs w:val="21"/>
        </w:rPr>
      </w:pPr>
      <w:r>
        <w:rPr>
          <w:rFonts w:hint="eastAsia" w:ascii="宋体" w:hAnsi="宋体"/>
          <w:b/>
          <w:bCs/>
          <w:color w:val="000000" w:themeColor="text1"/>
          <w:kern w:val="0"/>
          <w:szCs w:val="21"/>
        </w:rPr>
        <w:t>第四条</w:t>
      </w:r>
      <w:r>
        <w:rPr>
          <w:rFonts w:hint="eastAsia" w:ascii="宋体" w:hAnsi="宋体"/>
          <w:bCs/>
          <w:color w:val="000000" w:themeColor="text1"/>
          <w:kern w:val="0"/>
          <w:szCs w:val="21"/>
        </w:rPr>
        <w:t>乙方在甲方所有经营收入均纳入甲方财务总账（一卡通</w:t>
      </w:r>
      <w:r>
        <w:rPr>
          <w:rFonts w:ascii="宋体" w:hAnsi="宋体"/>
          <w:bCs/>
          <w:color w:val="000000" w:themeColor="text1"/>
          <w:kern w:val="0"/>
          <w:szCs w:val="21"/>
        </w:rPr>
        <w:t>+</w:t>
      </w:r>
      <w:r>
        <w:rPr>
          <w:rFonts w:hint="eastAsia" w:ascii="宋体" w:hAnsi="宋体"/>
          <w:bCs/>
          <w:color w:val="000000" w:themeColor="text1"/>
          <w:kern w:val="0"/>
          <w:szCs w:val="21"/>
        </w:rPr>
        <w:t>现金），其中一卡通充值由学校负责收取现金并充值；现金收取必须</w:t>
      </w:r>
      <w:r>
        <w:rPr>
          <w:rFonts w:hint="eastAsia" w:ascii="宋体" w:hAnsi="宋体"/>
          <w:color w:val="000000" w:themeColor="text1"/>
          <w:kern w:val="0"/>
          <w:szCs w:val="21"/>
        </w:rPr>
        <w:t>经甲方审批通过的收银系统并</w:t>
      </w:r>
      <w:r>
        <w:rPr>
          <w:rFonts w:hint="eastAsia" w:ascii="宋体" w:hAnsi="宋体"/>
          <w:bCs/>
          <w:color w:val="000000" w:themeColor="text1"/>
          <w:kern w:val="0"/>
          <w:szCs w:val="21"/>
        </w:rPr>
        <w:t>由乙方专人、专处收款。</w:t>
      </w:r>
    </w:p>
    <w:p>
      <w:pPr>
        <w:ind w:firstLine="420" w:firstLineChars="200"/>
        <w:rPr>
          <w:rFonts w:ascii="宋体"/>
          <w:bCs/>
          <w:color w:val="000000" w:themeColor="text1"/>
          <w:kern w:val="0"/>
          <w:szCs w:val="21"/>
        </w:rPr>
      </w:pPr>
      <w:r>
        <w:rPr>
          <w:rFonts w:hint="eastAsia" w:ascii="宋体" w:hAnsi="宋体"/>
          <w:bCs/>
          <w:color w:val="000000" w:themeColor="text1"/>
          <w:kern w:val="0"/>
          <w:szCs w:val="21"/>
        </w:rPr>
        <w:t>甲方按乙方当月营业额总和（一卡通</w:t>
      </w:r>
      <w:r>
        <w:rPr>
          <w:rFonts w:ascii="宋体" w:hAnsi="宋体"/>
          <w:bCs/>
          <w:color w:val="000000" w:themeColor="text1"/>
          <w:kern w:val="0"/>
          <w:szCs w:val="21"/>
        </w:rPr>
        <w:t>+</w:t>
      </w:r>
      <w:r>
        <w:rPr>
          <w:rFonts w:hint="eastAsia" w:ascii="宋体" w:hAnsi="宋体"/>
          <w:bCs/>
          <w:color w:val="000000" w:themeColor="text1"/>
          <w:kern w:val="0"/>
          <w:szCs w:val="21"/>
        </w:rPr>
        <w:t>现金）的</w:t>
      </w:r>
      <w:r>
        <w:rPr>
          <w:rFonts w:ascii="宋体" w:hAnsi="宋体"/>
          <w:bCs/>
          <w:color w:val="000000" w:themeColor="text1"/>
          <w:kern w:val="0"/>
          <w:szCs w:val="21"/>
        </w:rPr>
        <w:t xml:space="preserve"> %</w:t>
      </w:r>
      <w:r>
        <w:rPr>
          <w:rFonts w:hint="eastAsia" w:ascii="宋体" w:hAnsi="宋体"/>
          <w:bCs/>
          <w:color w:val="000000" w:themeColor="text1"/>
          <w:kern w:val="0"/>
          <w:szCs w:val="21"/>
        </w:rPr>
        <w:t>计提联合经营管理费，结算方式为按月结算。结算时，甲方在扣除联合经营管理费、水电气费、垃圾清运费、物业综合管理费、罚款等所有款项后，再将当月营业额剩余款项划转至乙方提供的基本账户。</w:t>
      </w:r>
    </w:p>
    <w:p>
      <w:pPr>
        <w:ind w:firstLine="420" w:firstLineChars="200"/>
        <w:rPr>
          <w:rFonts w:ascii="宋体"/>
          <w:bCs/>
          <w:color w:val="000000" w:themeColor="text1"/>
          <w:kern w:val="0"/>
          <w:szCs w:val="21"/>
        </w:rPr>
      </w:pPr>
      <w:r>
        <w:rPr>
          <w:rFonts w:hint="eastAsia" w:ascii="宋体" w:hAnsi="宋体"/>
          <w:bCs/>
          <w:color w:val="000000" w:themeColor="text1"/>
          <w:kern w:val="0"/>
          <w:szCs w:val="21"/>
        </w:rPr>
        <w:t>乙方承诺在合同期内每年最低向甲方缴纳联合经营保底费万元（大写，人民币，下同），</w:t>
      </w:r>
      <w:r>
        <w:rPr>
          <w:rFonts w:hint="eastAsia" w:ascii="宋体" w:hAnsi="宋体"/>
          <w:color w:val="000000" w:themeColor="text1"/>
          <w:kern w:val="0"/>
          <w:szCs w:val="21"/>
        </w:rPr>
        <w:t>计</w:t>
      </w:r>
      <w:r>
        <w:rPr>
          <w:rFonts w:hint="eastAsia" w:ascii="宋体" w:hAnsi="宋体"/>
          <w:bCs/>
          <w:color w:val="000000" w:themeColor="text1"/>
          <w:kern w:val="0"/>
          <w:szCs w:val="21"/>
        </w:rPr>
        <w:t>算截止</w:t>
      </w:r>
      <w:r>
        <w:rPr>
          <w:rFonts w:hint="eastAsia" w:ascii="宋体" w:hAnsi="宋体"/>
          <w:color w:val="000000" w:themeColor="text1"/>
          <w:kern w:val="0"/>
          <w:szCs w:val="21"/>
        </w:rPr>
        <w:t>时间为</w:t>
      </w:r>
      <w:r>
        <w:rPr>
          <w:rFonts w:hint="eastAsia" w:ascii="宋体" w:hAnsi="宋体"/>
          <w:bCs/>
          <w:color w:val="000000" w:themeColor="text1"/>
          <w:kern w:val="0"/>
          <w:szCs w:val="21"/>
        </w:rPr>
        <w:t>每年的</w:t>
      </w:r>
      <w:r>
        <w:rPr>
          <w:rFonts w:ascii="宋体" w:hAnsi="宋体"/>
          <w:color w:val="000000" w:themeColor="text1"/>
          <w:kern w:val="0"/>
          <w:szCs w:val="21"/>
          <w:u w:val="single"/>
        </w:rPr>
        <w:t xml:space="preserve">7 </w:t>
      </w:r>
      <w:r>
        <w:rPr>
          <w:rFonts w:hint="eastAsia" w:ascii="宋体" w:hAnsi="宋体"/>
          <w:color w:val="000000" w:themeColor="text1"/>
          <w:kern w:val="0"/>
          <w:szCs w:val="21"/>
        </w:rPr>
        <w:t>月</w:t>
      </w:r>
      <w:r>
        <w:rPr>
          <w:rFonts w:ascii="宋体" w:hAnsi="宋体"/>
          <w:color w:val="000000" w:themeColor="text1"/>
          <w:kern w:val="0"/>
          <w:szCs w:val="21"/>
          <w:u w:val="single"/>
        </w:rPr>
        <w:t xml:space="preserve"> 20 </w:t>
      </w:r>
      <w:r>
        <w:rPr>
          <w:rFonts w:hint="eastAsia" w:ascii="宋体" w:hAnsi="宋体"/>
          <w:color w:val="000000" w:themeColor="text1"/>
          <w:kern w:val="0"/>
          <w:szCs w:val="21"/>
        </w:rPr>
        <w:t>日。</w:t>
      </w:r>
      <w:r>
        <w:rPr>
          <w:rFonts w:hint="eastAsia" w:ascii="宋体" w:hAnsi="宋体"/>
          <w:bCs/>
          <w:color w:val="000000" w:themeColor="text1"/>
          <w:kern w:val="0"/>
          <w:szCs w:val="21"/>
        </w:rPr>
        <w:t>如当年提取的管理费总金额未能达到此标准，</w:t>
      </w:r>
      <w:r>
        <w:rPr>
          <w:rFonts w:hint="eastAsia" w:ascii="宋体" w:hAnsi="宋体"/>
          <w:color w:val="000000" w:themeColor="text1"/>
          <w:kern w:val="0"/>
          <w:szCs w:val="21"/>
        </w:rPr>
        <w:t>甲方将从乙方的营业款中扣</w:t>
      </w:r>
      <w:r>
        <w:rPr>
          <w:rFonts w:hint="eastAsia" w:ascii="宋体" w:hAnsi="宋体"/>
          <w:bCs/>
          <w:color w:val="000000" w:themeColor="text1"/>
          <w:kern w:val="0"/>
          <w:szCs w:val="21"/>
        </w:rPr>
        <w:t>除所差款项；</w:t>
      </w:r>
      <w:r>
        <w:rPr>
          <w:rFonts w:hint="eastAsia" w:ascii="宋体" w:hAnsi="宋体"/>
          <w:color w:val="000000" w:themeColor="text1"/>
          <w:kern w:val="0"/>
          <w:szCs w:val="21"/>
        </w:rPr>
        <w:t>营业款不足时，甲方将从履约保证金中扣除</w:t>
      </w:r>
      <w:r>
        <w:rPr>
          <w:rFonts w:hint="eastAsia" w:ascii="宋体" w:hAnsi="宋体"/>
          <w:bCs/>
          <w:color w:val="000000" w:themeColor="text1"/>
          <w:kern w:val="0"/>
          <w:szCs w:val="21"/>
        </w:rPr>
        <w:t>乙方所差款项，扣款时间为每年的</w:t>
      </w:r>
      <w:r>
        <w:rPr>
          <w:rFonts w:ascii="宋体" w:hAnsi="宋体"/>
          <w:color w:val="000000" w:themeColor="text1"/>
          <w:kern w:val="0"/>
          <w:szCs w:val="21"/>
          <w:u w:val="single"/>
        </w:rPr>
        <w:t xml:space="preserve"> 7 </w:t>
      </w:r>
      <w:r>
        <w:rPr>
          <w:rFonts w:hint="eastAsia" w:ascii="宋体" w:hAnsi="宋体"/>
          <w:color w:val="000000" w:themeColor="text1"/>
          <w:kern w:val="0"/>
          <w:szCs w:val="21"/>
        </w:rPr>
        <w:t>月</w:t>
      </w:r>
      <w:r>
        <w:rPr>
          <w:rFonts w:ascii="宋体" w:hAnsi="宋体"/>
          <w:color w:val="000000" w:themeColor="text1"/>
          <w:kern w:val="0"/>
          <w:szCs w:val="21"/>
          <w:u w:val="single"/>
        </w:rPr>
        <w:t xml:space="preserve">25 </w:t>
      </w:r>
      <w:r>
        <w:rPr>
          <w:rFonts w:hint="eastAsia" w:ascii="宋体" w:hAnsi="宋体"/>
          <w:color w:val="000000" w:themeColor="text1"/>
          <w:kern w:val="0"/>
          <w:szCs w:val="21"/>
        </w:rPr>
        <w:t>日之前</w:t>
      </w:r>
      <w:r>
        <w:rPr>
          <w:rFonts w:hint="eastAsia" w:ascii="宋体" w:hAnsi="宋体"/>
          <w:bCs/>
          <w:color w:val="000000" w:themeColor="text1"/>
          <w:kern w:val="0"/>
          <w:szCs w:val="21"/>
        </w:rPr>
        <w:t>。</w:t>
      </w:r>
      <w:r>
        <w:rPr>
          <w:rFonts w:hint="eastAsia" w:ascii="宋体" w:hAnsi="宋体"/>
          <w:color w:val="000000" w:themeColor="text1"/>
          <w:kern w:val="0"/>
          <w:szCs w:val="21"/>
        </w:rPr>
        <w:t>当出现被扣履约保证金的情况时，甲方将从乙方次月的营业额中除正常提取管理费后，再扣除相应款项补足履约保证金。</w:t>
      </w:r>
    </w:p>
    <w:p>
      <w:pPr>
        <w:ind w:firstLine="527" w:firstLineChars="250"/>
        <w:rPr>
          <w:rFonts w:ascii="宋体"/>
          <w:color w:val="000000" w:themeColor="text1"/>
          <w:szCs w:val="21"/>
        </w:rPr>
      </w:pPr>
      <w:r>
        <w:rPr>
          <w:rFonts w:hint="eastAsia" w:ascii="宋体" w:hAnsi="宋体"/>
          <w:b/>
          <w:bCs/>
          <w:color w:val="000000" w:themeColor="text1"/>
          <w:kern w:val="0"/>
          <w:szCs w:val="21"/>
        </w:rPr>
        <w:t>第五条</w:t>
      </w:r>
      <w:r>
        <w:rPr>
          <w:rFonts w:hint="eastAsia" w:ascii="宋体" w:hAnsi="宋体"/>
          <w:bCs/>
          <w:color w:val="000000" w:themeColor="text1"/>
          <w:kern w:val="0"/>
          <w:szCs w:val="21"/>
        </w:rPr>
        <w:t>乙方必须</w:t>
      </w:r>
      <w:r>
        <w:rPr>
          <w:rFonts w:hint="eastAsia" w:ascii="宋体" w:hAnsi="宋体"/>
          <w:color w:val="000000" w:themeColor="text1"/>
          <w:kern w:val="0"/>
          <w:szCs w:val="21"/>
        </w:rPr>
        <w:t>于</w:t>
      </w:r>
      <w:r>
        <w:rPr>
          <w:rFonts w:ascii="宋体" w:hAnsi="宋体"/>
          <w:color w:val="000000" w:themeColor="text1"/>
          <w:kern w:val="0"/>
          <w:szCs w:val="21"/>
        </w:rPr>
        <w:t>201</w:t>
      </w:r>
      <w:r>
        <w:rPr>
          <w:rFonts w:hint="eastAsia" w:ascii="宋体" w:hAnsi="宋体"/>
          <w:color w:val="000000" w:themeColor="text1"/>
          <w:kern w:val="0"/>
          <w:szCs w:val="21"/>
        </w:rPr>
        <w:t>8年</w:t>
      </w:r>
      <w:r>
        <w:rPr>
          <w:rFonts w:ascii="宋体" w:hAnsi="宋体"/>
          <w:color w:val="000000" w:themeColor="text1"/>
          <w:kern w:val="0"/>
          <w:szCs w:val="21"/>
        </w:rPr>
        <w:t>8</w:t>
      </w:r>
      <w:r>
        <w:rPr>
          <w:rFonts w:hint="eastAsia" w:ascii="宋体" w:hAnsi="宋体"/>
          <w:color w:val="000000" w:themeColor="text1"/>
          <w:kern w:val="0"/>
          <w:szCs w:val="21"/>
        </w:rPr>
        <w:t>月</w:t>
      </w:r>
      <w:r>
        <w:rPr>
          <w:rFonts w:ascii="宋体" w:hAnsi="宋体"/>
          <w:color w:val="000000" w:themeColor="text1"/>
          <w:kern w:val="0"/>
          <w:szCs w:val="21"/>
        </w:rPr>
        <w:t>25</w:t>
      </w:r>
      <w:r>
        <w:rPr>
          <w:rFonts w:hint="eastAsia" w:ascii="宋体" w:hAnsi="宋体"/>
          <w:color w:val="000000" w:themeColor="text1"/>
          <w:kern w:val="0"/>
          <w:szCs w:val="21"/>
        </w:rPr>
        <w:t>日前</w:t>
      </w:r>
      <w:r>
        <w:rPr>
          <w:rFonts w:ascii="宋体"/>
          <w:color w:val="000000" w:themeColor="text1"/>
          <w:kern w:val="0"/>
          <w:szCs w:val="21"/>
        </w:rPr>
        <w:t>,</w:t>
      </w:r>
      <w:r>
        <w:rPr>
          <w:rFonts w:hint="eastAsia" w:ascii="宋体" w:hAnsi="宋体"/>
          <w:color w:val="000000" w:themeColor="text1"/>
          <w:kern w:val="0"/>
          <w:szCs w:val="21"/>
        </w:rPr>
        <w:t>一次性投入总金额为万元（大写万元）用于</w:t>
      </w:r>
      <w:r>
        <w:rPr>
          <w:rFonts w:hint="eastAsia" w:ascii="宋体" w:hAnsi="宋体"/>
          <w:bCs/>
          <w:color w:val="000000" w:themeColor="text1"/>
          <w:kern w:val="0"/>
          <w:szCs w:val="21"/>
        </w:rPr>
        <w:t>联合经营食堂</w:t>
      </w:r>
      <w:r>
        <w:rPr>
          <w:rFonts w:hint="eastAsia" w:ascii="宋体" w:hAnsi="宋体"/>
          <w:color w:val="000000" w:themeColor="text1"/>
          <w:kern w:val="0"/>
          <w:szCs w:val="21"/>
        </w:rPr>
        <w:t>装修改造和餐厨设施设备购置。</w:t>
      </w:r>
    </w:p>
    <w:p>
      <w:pPr>
        <w:ind w:firstLine="420" w:firstLineChars="200"/>
        <w:jc w:val="left"/>
        <w:rPr>
          <w:rFonts w:ascii="宋体" w:hAnsi="宋体"/>
          <w:kern w:val="0"/>
          <w:szCs w:val="21"/>
        </w:rPr>
      </w:pPr>
      <w:r>
        <w:rPr>
          <w:rFonts w:hint="eastAsia" w:ascii="宋体" w:hAnsi="宋体"/>
          <w:bCs/>
          <w:color w:val="000000" w:themeColor="text1"/>
          <w:kern w:val="0"/>
          <w:szCs w:val="21"/>
        </w:rPr>
        <w:t>联合经营食堂的</w:t>
      </w:r>
      <w:r>
        <w:rPr>
          <w:rFonts w:hint="eastAsia" w:ascii="宋体" w:hAnsi="宋体"/>
          <w:color w:val="000000" w:themeColor="text1"/>
          <w:kern w:val="0"/>
          <w:szCs w:val="21"/>
        </w:rPr>
        <w:t>装修改造和餐厨设施设备购置验收由学校组织相关职能部门，按学校审定通过的装修改造和餐厨设施设备购置方案验收；消防安全验收由乙方向学校所在地消防部门申请验收；装修改造环保验收由乙方向学校所在地环保部门申请验收；验收费用由乙方支付，乙方出具学校所在地</w:t>
      </w:r>
      <w:r>
        <w:rPr>
          <w:rFonts w:hint="eastAsia" w:ascii="宋体" w:hAnsi="宋体"/>
          <w:kern w:val="0"/>
          <w:szCs w:val="21"/>
        </w:rPr>
        <w:t>消防和环保部门</w:t>
      </w:r>
      <w:r>
        <w:rPr>
          <w:rFonts w:hint="eastAsia" w:ascii="宋体" w:hAnsi="宋体"/>
          <w:color w:val="000000" w:themeColor="text1"/>
          <w:kern w:val="0"/>
          <w:szCs w:val="21"/>
        </w:rPr>
        <w:t>的验收合格证明材料。</w:t>
      </w:r>
    </w:p>
    <w:p>
      <w:pPr>
        <w:ind w:firstLine="420" w:firstLineChars="200"/>
        <w:jc w:val="left"/>
        <w:rPr>
          <w:rFonts w:ascii="宋体" w:hAnsi="宋体"/>
          <w:bCs/>
          <w:color w:val="000000" w:themeColor="text1"/>
          <w:kern w:val="0"/>
          <w:szCs w:val="21"/>
        </w:rPr>
      </w:pPr>
      <w:r>
        <w:rPr>
          <w:rFonts w:hint="eastAsia" w:ascii="宋体" w:hAnsi="宋体"/>
          <w:bCs/>
          <w:color w:val="000000" w:themeColor="text1"/>
          <w:kern w:val="0"/>
          <w:szCs w:val="21"/>
        </w:rPr>
        <w:t>投资审计由甲方委托在重庆市教委备案的审计公司按重庆市装饰工程计价定额及配套文件（</w:t>
      </w:r>
      <w:r>
        <w:rPr>
          <w:rFonts w:ascii="宋体" w:hAnsi="宋体"/>
          <w:bCs/>
          <w:color w:val="000000" w:themeColor="text1"/>
          <w:kern w:val="0"/>
          <w:szCs w:val="21"/>
        </w:rPr>
        <w:t>2008</w:t>
      </w:r>
      <w:r>
        <w:rPr>
          <w:rFonts w:hint="eastAsia" w:ascii="宋体" w:hAnsi="宋体"/>
          <w:bCs/>
          <w:color w:val="000000" w:themeColor="text1"/>
          <w:kern w:val="0"/>
          <w:szCs w:val="21"/>
        </w:rPr>
        <w:t>）进行审计，其材料价格和人工价格按施工期间涪陵造价信息平均值执行，如涪陵信息造价没有，则按重庆市造价信息平均值执行，前述信息价没有的由审计公司核定。审计界定装修投入实际金额达到投标文件承诺的，由甲方承担审计费用，未达到投标文件承诺的情况，乙方承担审计费用。若乙方实际总投入低于招投标文件的报价金额，乙方须向甲方以现金的方式补足差额部分。</w:t>
      </w:r>
    </w:p>
    <w:p>
      <w:pPr>
        <w:ind w:firstLine="422" w:firstLineChars="200"/>
        <w:jc w:val="left"/>
        <w:rPr>
          <w:rFonts w:ascii="宋体"/>
          <w:bCs/>
          <w:color w:val="FF0000"/>
          <w:kern w:val="0"/>
          <w:szCs w:val="21"/>
        </w:rPr>
      </w:pPr>
      <w:r>
        <w:rPr>
          <w:rFonts w:hint="eastAsia" w:ascii="宋体" w:hAnsi="宋体"/>
          <w:b/>
          <w:bCs/>
          <w:color w:val="000000" w:themeColor="text1"/>
          <w:kern w:val="0"/>
          <w:szCs w:val="21"/>
        </w:rPr>
        <w:t>第六条</w:t>
      </w:r>
      <w:r>
        <w:rPr>
          <w:rFonts w:hint="eastAsia" w:ascii="宋体" w:hAnsi="宋体"/>
          <w:kern w:val="0"/>
          <w:szCs w:val="21"/>
        </w:rPr>
        <w:t>乙方应当按照甲方的物业管理部门的收费标准、收</w:t>
      </w:r>
      <w:r>
        <w:rPr>
          <w:rFonts w:hint="eastAsia" w:ascii="宋体" w:hAnsi="宋体"/>
          <w:bCs/>
          <w:kern w:val="0"/>
          <w:szCs w:val="21"/>
        </w:rPr>
        <w:t>费时间缴纳相应的水电气费（据实计费）、垃圾清运费贰万元（每月2000元，每年按10个月计）、物业综合管理费贰万元（每月2000元，每年按10个月计）等。其中水电气费按照重庆市规定的居民用水电气标准收取，其他费用按照上级主管部门和学校规定的标准收取。</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第七条</w:t>
      </w:r>
      <w:r>
        <w:rPr>
          <w:rFonts w:hint="eastAsia" w:ascii="宋体" w:hAnsi="宋体"/>
          <w:color w:val="000000" w:themeColor="text1"/>
          <w:kern w:val="0"/>
          <w:szCs w:val="21"/>
        </w:rPr>
        <w:t>在合同期内如乙方未能按时足额交清第四条、第五条、第六条中约定的</w:t>
      </w:r>
      <w:r>
        <w:rPr>
          <w:rFonts w:hint="eastAsia" w:ascii="宋体" w:hAnsi="宋体"/>
          <w:bCs/>
          <w:color w:val="000000" w:themeColor="text1"/>
          <w:kern w:val="0"/>
          <w:szCs w:val="21"/>
        </w:rPr>
        <w:t>管理费</w:t>
      </w:r>
      <w:r>
        <w:rPr>
          <w:rFonts w:hint="eastAsia" w:ascii="宋体" w:hAnsi="宋体"/>
          <w:color w:val="000000" w:themeColor="text1"/>
          <w:kern w:val="0"/>
          <w:szCs w:val="21"/>
        </w:rPr>
        <w:t>和相关费用，乙方应承担违约责任并从应付之日起，每日按欠费总金额的</w:t>
      </w:r>
      <w:r>
        <w:rPr>
          <w:rFonts w:ascii="宋体" w:hAnsi="宋体"/>
          <w:color w:val="000000" w:themeColor="text1"/>
          <w:kern w:val="0"/>
          <w:szCs w:val="21"/>
        </w:rPr>
        <w:t>3</w:t>
      </w:r>
      <w:r>
        <w:rPr>
          <w:rFonts w:hint="eastAsia" w:ascii="宋体" w:hAnsi="宋体"/>
          <w:color w:val="000000" w:themeColor="text1"/>
          <w:kern w:val="0"/>
          <w:szCs w:val="21"/>
        </w:rPr>
        <w:t>‰向甲方支付滞纳金。</w:t>
      </w:r>
    </w:p>
    <w:p>
      <w:pPr>
        <w:ind w:firstLine="422" w:firstLineChars="200"/>
        <w:jc w:val="left"/>
        <w:rPr>
          <w:rFonts w:ascii="宋体" w:hAnsi="宋体"/>
          <w:bCs/>
          <w:color w:val="000000" w:themeColor="text1"/>
          <w:kern w:val="0"/>
          <w:szCs w:val="21"/>
        </w:rPr>
      </w:pPr>
      <w:r>
        <w:rPr>
          <w:rFonts w:hint="eastAsia" w:ascii="宋体" w:hAnsi="宋体"/>
          <w:b/>
          <w:bCs/>
          <w:color w:val="000000" w:themeColor="text1"/>
          <w:kern w:val="0"/>
          <w:szCs w:val="21"/>
        </w:rPr>
        <w:t>第八条</w:t>
      </w:r>
      <w:r>
        <w:rPr>
          <w:rFonts w:hint="eastAsia" w:ascii="宋体" w:hAnsi="宋体"/>
          <w:bCs/>
          <w:color w:val="000000" w:themeColor="text1"/>
          <w:kern w:val="0"/>
          <w:szCs w:val="21"/>
        </w:rPr>
        <w:t>乙方在签订本合同时，应当向甲方一次性缴纳履约保证金100万元（大写：壹佰万元整）。该履约保证金作为乙方不违反本合同约定的保证以及按时缴纳各项费用和房屋、设施设备完好的基本保证。合同期内，应由乙方缴纳的管理费、滞纳金、违约金及其它费用逾期未缴纳时，甲方有权从乙方的营业款中扣除，营业款不足时，甲方有权从履约保证金中扣除。</w:t>
      </w:r>
    </w:p>
    <w:p>
      <w:pPr>
        <w:ind w:firstLine="420" w:firstLineChars="200"/>
        <w:jc w:val="left"/>
        <w:rPr>
          <w:rFonts w:ascii="宋体" w:hAnsi="宋体"/>
          <w:bCs/>
          <w:color w:val="000000" w:themeColor="text1"/>
          <w:kern w:val="0"/>
          <w:szCs w:val="21"/>
        </w:rPr>
      </w:pPr>
      <w:r>
        <w:rPr>
          <w:rFonts w:hint="eastAsia" w:ascii="宋体" w:hAnsi="宋体"/>
          <w:bCs/>
          <w:color w:val="000000" w:themeColor="text1"/>
          <w:kern w:val="0"/>
          <w:szCs w:val="21"/>
        </w:rPr>
        <w:t>乙方经营至合同期满前两个月的营业款暂不结算，如乙方未违反本合同约定且处理完合同期内所有遗留问题并按期撤场后，甲方再结算全部营业款余额并无息退还乙方履约保证金。</w:t>
      </w:r>
    </w:p>
    <w:p>
      <w:pPr>
        <w:ind w:firstLine="422" w:firstLineChars="200"/>
        <w:jc w:val="left"/>
        <w:rPr>
          <w:rFonts w:ascii="宋体" w:hAnsi="宋体"/>
          <w:bCs/>
          <w:color w:val="000000" w:themeColor="text1"/>
          <w:kern w:val="0"/>
          <w:szCs w:val="21"/>
        </w:rPr>
      </w:pPr>
      <w:r>
        <w:rPr>
          <w:rFonts w:hint="eastAsia" w:ascii="宋体" w:hAnsi="宋体"/>
          <w:b/>
          <w:bCs/>
          <w:color w:val="000000" w:themeColor="text1"/>
          <w:kern w:val="0"/>
          <w:szCs w:val="21"/>
        </w:rPr>
        <w:t>第九条</w:t>
      </w:r>
      <w:r>
        <w:rPr>
          <w:rFonts w:hint="eastAsia" w:ascii="宋体" w:hAnsi="宋体"/>
          <w:bCs/>
          <w:color w:val="000000" w:themeColor="text1"/>
          <w:kern w:val="0"/>
          <w:szCs w:val="21"/>
        </w:rPr>
        <w:t xml:space="preserve"> 乙方在签订本合同时，应当向甲方一次性将投标时承诺的首期投资总额的30%打入学校账户，学校根据装修进度分两次返还给中标人（当装修进度进行到一半时无息返还50%，开业时无息返还剩余的50%）；另外还须缴纳装修保证金100万元，开业时无息返还50%的装修保证金，验收审计合格后（达到合同约定的装修要求及经费投入）无息返还剩余的装修保证金。</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第十条</w:t>
      </w:r>
      <w:r>
        <w:rPr>
          <w:rFonts w:hint="eastAsia" w:ascii="宋体" w:hAnsi="宋体"/>
          <w:color w:val="000000" w:themeColor="text1"/>
          <w:kern w:val="0"/>
          <w:szCs w:val="21"/>
        </w:rPr>
        <w:t>合同存续期间，乙方所经营食堂的照明灯具、桌椅、厨具、房屋、装修成品、水电气、消防以及食堂内的其他设施设备的日常维修费用由乙方自行承担。</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第十一条</w:t>
      </w:r>
      <w:r>
        <w:rPr>
          <w:rFonts w:hint="eastAsia" w:ascii="宋体" w:hAnsi="宋体"/>
          <w:color w:val="000000" w:themeColor="text1"/>
          <w:kern w:val="0"/>
          <w:szCs w:val="21"/>
        </w:rPr>
        <w:t>乙方须自主办理地方工商、税务、餐饮服务许可证、环保、消防合格验收等相关证照，所产生的费用由乙方自行承担。甲方应配合乙方自行办理高校食堂经营的相关手续。</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第十二条</w:t>
      </w:r>
      <w:r>
        <w:rPr>
          <w:rFonts w:hint="eastAsia" w:ascii="宋体" w:hAnsi="宋体"/>
          <w:color w:val="000000" w:themeColor="text1"/>
          <w:kern w:val="0"/>
          <w:szCs w:val="21"/>
        </w:rPr>
        <w:t>乙方经营管理所聘用员工的所有费用均由乙方自行承担。</w:t>
      </w:r>
    </w:p>
    <w:p>
      <w:pPr>
        <w:jc w:val="center"/>
        <w:rPr>
          <w:rFonts w:ascii="宋体"/>
          <w:b/>
          <w:color w:val="000000" w:themeColor="text1"/>
          <w:sz w:val="28"/>
          <w:szCs w:val="28"/>
        </w:rPr>
      </w:pPr>
      <w:r>
        <w:rPr>
          <w:rFonts w:hint="eastAsia" w:ascii="宋体" w:hAnsi="宋体"/>
          <w:b/>
          <w:color w:val="000000" w:themeColor="text1"/>
          <w:sz w:val="28"/>
          <w:szCs w:val="28"/>
        </w:rPr>
        <w:t>第三部分考核管理及相关责任</w:t>
      </w:r>
    </w:p>
    <w:p>
      <w:pPr>
        <w:ind w:firstLine="422" w:firstLineChars="200"/>
        <w:rPr>
          <w:rFonts w:ascii="宋体" w:hAnsi="宋体"/>
          <w:bCs/>
          <w:color w:val="000000" w:themeColor="text1"/>
          <w:kern w:val="0"/>
          <w:szCs w:val="21"/>
        </w:rPr>
      </w:pPr>
      <w:r>
        <w:rPr>
          <w:rFonts w:hint="eastAsia" w:ascii="宋体" w:hAnsi="宋体"/>
          <w:b/>
          <w:bCs/>
          <w:color w:val="000000" w:themeColor="text1"/>
          <w:kern w:val="0"/>
          <w:szCs w:val="21"/>
        </w:rPr>
        <w:t>第十三条</w:t>
      </w:r>
      <w:r>
        <w:rPr>
          <w:rFonts w:hint="eastAsia" w:ascii="宋体" w:hAnsi="宋体"/>
          <w:bCs/>
          <w:color w:val="000000" w:themeColor="text1"/>
          <w:kern w:val="0"/>
          <w:szCs w:val="21"/>
        </w:rPr>
        <w:t xml:space="preserve"> 食堂的装修改造效果图及改造方案须经甲方审核签字认可。南苑食府餐饮档口的改造方案须体现新一代大学食堂的设计理念，除主营大众餐、特色餐、风味餐、清真餐、水吧、零食外，还应满足学生自习、演讲、沙龙、社交、活动、聚会、娱乐、休闲等第三空间方面的需求。</w:t>
      </w:r>
    </w:p>
    <w:p>
      <w:pPr>
        <w:ind w:firstLine="420" w:firstLineChars="200"/>
        <w:rPr>
          <w:rFonts w:ascii="宋体" w:hAnsi="宋体"/>
          <w:bCs/>
          <w:color w:val="000000" w:themeColor="text1"/>
          <w:kern w:val="0"/>
          <w:szCs w:val="21"/>
        </w:rPr>
      </w:pPr>
      <w:r>
        <w:rPr>
          <w:rFonts w:hint="eastAsia" w:ascii="宋体" w:hAnsi="宋体"/>
          <w:bCs/>
          <w:color w:val="000000" w:themeColor="text1"/>
          <w:kern w:val="0"/>
          <w:szCs w:val="21"/>
        </w:rPr>
        <w:t>接待中心餐饮档口的装修改造效果图及改造方案除保障教职工工作餐和公务接待餐（不少于三个包间，包含自助餐、中餐、西餐、咖啡等）外，还要满足团餐、特色餐、风味餐、餐叙交流、卡座等师生较高端的消费场所需求。</w:t>
      </w:r>
    </w:p>
    <w:p>
      <w:pPr>
        <w:ind w:firstLine="422" w:firstLineChars="200"/>
        <w:rPr>
          <w:rFonts w:ascii="宋体"/>
          <w:color w:val="FF0000"/>
          <w:kern w:val="0"/>
          <w:szCs w:val="21"/>
        </w:rPr>
      </w:pPr>
      <w:r>
        <w:rPr>
          <w:rFonts w:hint="eastAsia" w:ascii="宋体" w:hAnsi="宋体"/>
          <w:b/>
          <w:bCs/>
          <w:color w:val="000000" w:themeColor="text1"/>
          <w:kern w:val="0"/>
          <w:szCs w:val="21"/>
        </w:rPr>
        <w:t>第十四条</w:t>
      </w:r>
      <w:r>
        <w:rPr>
          <w:rFonts w:hint="eastAsia" w:ascii="宋体" w:hAnsi="宋体"/>
          <w:color w:val="000000" w:themeColor="text1"/>
          <w:kern w:val="0"/>
          <w:szCs w:val="21"/>
        </w:rPr>
        <w:t>乙方的经营时间为全年营业，但在寒暑假期间，乙方可根据校内师生人数调整品类和经营时间。</w:t>
      </w:r>
      <w:r>
        <w:rPr>
          <w:rFonts w:hint="eastAsia" w:ascii="宋体" w:hAnsi="宋体"/>
          <w:color w:val="000000" w:themeColor="text1"/>
          <w:szCs w:val="21"/>
        </w:rPr>
        <w:t>为保证师生员工正常用餐，乙方应当于早、中、晚三餐用餐人数较为集中时开足服务窗口，缩短师生等候时间。乙方必须按甲方规定的作息制度做好就餐保障工作，遇特殊情况（包括接待任务等）应予以配合供餐或延时供餐，保障师生员工就餐。同时，不但要保障法定节假日期间的饭菜供应，而且还要提供丰富的饭菜食品，营造喜庆祥和的节假日氛围。</w:t>
      </w:r>
    </w:p>
    <w:p>
      <w:pPr>
        <w:ind w:firstLine="420" w:firstLineChars="200"/>
        <w:jc w:val="left"/>
        <w:rPr>
          <w:rFonts w:ascii="宋体" w:hAnsi="宋体"/>
          <w:bCs/>
          <w:color w:val="000000" w:themeColor="text1"/>
          <w:kern w:val="0"/>
          <w:szCs w:val="21"/>
        </w:rPr>
      </w:pPr>
      <w:r>
        <w:rPr>
          <w:rFonts w:hint="eastAsia" w:ascii="宋体" w:hAnsi="宋体"/>
          <w:bCs/>
          <w:color w:val="000000" w:themeColor="text1"/>
          <w:kern w:val="0"/>
          <w:szCs w:val="21"/>
        </w:rPr>
        <w:t>第十五条乙方应当保持菜品价格的稳定。要求菜品丰富、品种齐全、价格合理，其中应包括不低于20%的平价菜档口（平价菜价格不高于重庆市教育后勤协会指导价）。</w:t>
      </w:r>
    </w:p>
    <w:p>
      <w:pPr>
        <w:ind w:firstLine="420" w:firstLineChars="200"/>
        <w:jc w:val="left"/>
        <w:rPr>
          <w:rFonts w:ascii="宋体" w:hAnsi="宋体"/>
          <w:bCs/>
          <w:color w:val="000000" w:themeColor="text1"/>
          <w:kern w:val="0"/>
          <w:szCs w:val="21"/>
        </w:rPr>
      </w:pPr>
      <w:r>
        <w:rPr>
          <w:rFonts w:hint="eastAsia" w:ascii="宋体" w:hAnsi="宋体"/>
          <w:bCs/>
          <w:color w:val="000000" w:themeColor="text1"/>
          <w:kern w:val="0"/>
          <w:szCs w:val="21"/>
        </w:rPr>
        <w:t>特色风味餐要求特色分明、风味独特、品质较高，档口设置不少于20个。</w:t>
      </w:r>
    </w:p>
    <w:p>
      <w:pPr>
        <w:ind w:firstLine="420" w:firstLineChars="200"/>
        <w:jc w:val="left"/>
        <w:rPr>
          <w:rFonts w:ascii="宋体" w:hAnsi="宋体"/>
          <w:bCs/>
          <w:color w:val="000000" w:themeColor="text1"/>
          <w:kern w:val="0"/>
          <w:szCs w:val="21"/>
        </w:rPr>
      </w:pPr>
      <w:r>
        <w:rPr>
          <w:rFonts w:hint="eastAsia" w:ascii="宋体" w:hAnsi="宋体"/>
          <w:bCs/>
          <w:color w:val="000000" w:themeColor="text1"/>
          <w:kern w:val="0"/>
          <w:szCs w:val="21"/>
        </w:rPr>
        <w:t>单独设立的清真餐档口1个。档口和就餐区独立设置（必须符合政府和管理部门的规范和要求、执行教育后勤协会的指导价)。</w:t>
      </w:r>
    </w:p>
    <w:p>
      <w:pPr>
        <w:ind w:firstLine="420" w:firstLineChars="200"/>
        <w:jc w:val="left"/>
        <w:rPr>
          <w:rFonts w:ascii="宋体" w:hAnsi="宋体"/>
          <w:bCs/>
          <w:color w:val="000000" w:themeColor="text1"/>
          <w:kern w:val="0"/>
          <w:szCs w:val="21"/>
        </w:rPr>
      </w:pPr>
      <w:r>
        <w:rPr>
          <w:rFonts w:hint="eastAsia" w:ascii="宋体" w:hAnsi="宋体"/>
          <w:bCs/>
          <w:color w:val="000000" w:themeColor="text1"/>
          <w:kern w:val="0"/>
          <w:szCs w:val="21"/>
        </w:rPr>
        <w:t>教职工工作餐营养丰富、菜品多样、搭配合理，价格不高于重庆市教育后勤协会指导价。</w:t>
      </w:r>
    </w:p>
    <w:p>
      <w:pPr>
        <w:ind w:firstLine="420" w:firstLineChars="200"/>
        <w:jc w:val="left"/>
        <w:rPr>
          <w:rFonts w:ascii="宋体" w:hAnsi="宋体"/>
          <w:bCs/>
          <w:color w:val="000000" w:themeColor="text1"/>
          <w:kern w:val="0"/>
          <w:szCs w:val="21"/>
        </w:rPr>
      </w:pPr>
      <w:r>
        <w:rPr>
          <w:rFonts w:hint="eastAsia" w:ascii="宋体" w:hAnsi="宋体"/>
          <w:bCs/>
          <w:color w:val="000000" w:themeColor="text1"/>
          <w:kern w:val="0"/>
          <w:szCs w:val="21"/>
        </w:rPr>
        <w:t>公务接待要求对桌餐、团餐、自助餐、餐叙交流、卡座等有明确分区，接待标准须符合公务接待的相关要求，并接受学校相关部门的监督指导，提供正式餐饮发票。</w:t>
      </w:r>
    </w:p>
    <w:p>
      <w:pPr>
        <w:ind w:firstLine="420" w:firstLineChars="200"/>
        <w:jc w:val="left"/>
        <w:rPr>
          <w:rFonts w:ascii="宋体" w:hAnsi="宋体"/>
          <w:bCs/>
          <w:color w:val="000000" w:themeColor="text1"/>
          <w:kern w:val="0"/>
          <w:szCs w:val="21"/>
        </w:rPr>
      </w:pPr>
      <w:r>
        <w:rPr>
          <w:rFonts w:hint="eastAsia" w:ascii="宋体" w:hAnsi="宋体"/>
          <w:bCs/>
          <w:color w:val="000000" w:themeColor="text1"/>
          <w:kern w:val="0"/>
          <w:szCs w:val="21"/>
        </w:rPr>
        <w:t>乙方的初次定价以及之后的任一菜品的价格调整均须书面征得甲方的同意，否则，甲方可以按照每一菜品每次伍仟元的标准给予违约处罚。</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第十六条</w:t>
      </w:r>
      <w:r>
        <w:rPr>
          <w:rFonts w:hint="eastAsia" w:ascii="宋体" w:hAnsi="宋体"/>
          <w:color w:val="000000" w:themeColor="text1"/>
          <w:kern w:val="0"/>
          <w:szCs w:val="21"/>
        </w:rPr>
        <w:t>乙方应当提高餐饮服务质量。做好菜品的花色品种齐全、营养搭配合理；采取保温措施，确保饭菜温度；提高员工的服务意识、增强服务技能，不断提升服务质量和师生满意度。</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第十七条</w:t>
      </w:r>
      <w:r>
        <w:rPr>
          <w:rFonts w:hint="eastAsia" w:ascii="宋体" w:hAnsi="宋体"/>
          <w:color w:val="000000" w:themeColor="text1"/>
          <w:kern w:val="0"/>
          <w:szCs w:val="21"/>
        </w:rPr>
        <w:t>乙方必须遵守《中华人民共和国食品安全法》等法律、法规以及上级主管部门和学校相关规章制度，如有违反，因此产生的责任和处罚等全部由乙方自行承担，</w:t>
      </w:r>
      <w:r>
        <w:rPr>
          <w:rFonts w:hint="eastAsia" w:ascii="宋体" w:hAnsi="宋体"/>
          <w:kern w:val="0"/>
          <w:szCs w:val="21"/>
        </w:rPr>
        <w:t>甲方还可在此基础上给予乙方对等的处罚。乙方必须认真执行本合同的相关要求和规定，对不服从</w:t>
      </w:r>
      <w:r>
        <w:rPr>
          <w:rFonts w:hint="eastAsia" w:ascii="宋体" w:hAnsi="宋体"/>
          <w:color w:val="000000" w:themeColor="text1"/>
          <w:kern w:val="0"/>
          <w:szCs w:val="21"/>
        </w:rPr>
        <w:t>甲方管理，不及时按照甲方的要求进行整改的，每次给予壹仟元至壹万元处罚。</w:t>
      </w:r>
    </w:p>
    <w:p>
      <w:pPr>
        <w:ind w:firstLine="420" w:firstLineChars="200"/>
        <w:rPr>
          <w:rFonts w:ascii="宋体" w:hAnsi="宋体"/>
          <w:bCs/>
          <w:color w:val="000000" w:themeColor="text1"/>
          <w:kern w:val="0"/>
          <w:szCs w:val="21"/>
        </w:rPr>
      </w:pPr>
      <w:r>
        <w:rPr>
          <w:rFonts w:hint="eastAsia" w:ascii="宋体" w:hAnsi="宋体"/>
          <w:bCs/>
          <w:color w:val="000000" w:themeColor="text1"/>
          <w:kern w:val="0"/>
          <w:szCs w:val="21"/>
        </w:rPr>
        <w:t>乙方必须严格遵守食品卫生规定和要求，保证食品卫生，杜绝食物中毒发生。认真贯彻《中华人民共和国食品安全法》，须按照学校要求定期组织员工培训《中华人民共和国食品安全法》，把好饮食卫生“四关”、“三白”、“二消毒”、“</w:t>
      </w:r>
      <w:r>
        <w:rPr>
          <w:rFonts w:ascii="宋体" w:hAnsi="宋体"/>
          <w:bCs/>
          <w:color w:val="000000" w:themeColor="text1"/>
          <w:kern w:val="0"/>
          <w:szCs w:val="21"/>
        </w:rPr>
        <w:t>—</w:t>
      </w:r>
      <w:r>
        <w:rPr>
          <w:rFonts w:hint="eastAsia" w:ascii="宋体" w:hAnsi="宋体"/>
          <w:bCs/>
          <w:color w:val="000000" w:themeColor="text1"/>
          <w:kern w:val="0"/>
          <w:szCs w:val="21"/>
        </w:rPr>
        <w:t>留样”。四关，即进货关、拣洗关、烹饪关和消毒关；三白，即窗口和加工操作人员要穿戴好帽子、口罩和工作服；二消毒，即餐用具消毒（餐具消毒应配置洗消一体自动洗碗机）和环境消毒；一留样，即熟食留样记录。</w:t>
      </w:r>
    </w:p>
    <w:p>
      <w:pPr>
        <w:ind w:firstLine="420" w:firstLineChars="200"/>
        <w:rPr>
          <w:rFonts w:ascii="宋体" w:hAnsi="宋体"/>
          <w:bCs/>
          <w:color w:val="000000" w:themeColor="text1"/>
          <w:kern w:val="0"/>
          <w:szCs w:val="21"/>
        </w:rPr>
      </w:pPr>
      <w:r>
        <w:rPr>
          <w:rFonts w:hint="eastAsia" w:ascii="宋体" w:hAnsi="宋体"/>
          <w:bCs/>
          <w:color w:val="000000" w:themeColor="text1"/>
          <w:kern w:val="0"/>
          <w:szCs w:val="21"/>
        </w:rPr>
        <w:t>乙方的食品加工工艺流程合理，溯源索票索证、留样试尝制度完善，餐具清洗消毒保存规范。乙方须严格遵守国家有关食品安全、卫生、防疫、消防、治安等方面的法律法规及学校有关方面的管理规定，服从学校各级主管部门的监管。其法定代表人对食堂的食品安全、卫生、防疫、消防和治安等安全负完全责任。</w:t>
      </w:r>
    </w:p>
    <w:p>
      <w:pPr>
        <w:ind w:firstLine="420" w:firstLineChars="200"/>
        <w:rPr>
          <w:rFonts w:ascii="宋体" w:hAnsi="宋体"/>
          <w:bCs/>
          <w:color w:val="000000" w:themeColor="text1"/>
          <w:kern w:val="0"/>
          <w:szCs w:val="21"/>
        </w:rPr>
      </w:pPr>
      <w:r>
        <w:rPr>
          <w:rFonts w:hint="eastAsia" w:ascii="宋体" w:hAnsi="宋体"/>
          <w:bCs/>
          <w:color w:val="000000" w:themeColor="text1"/>
          <w:kern w:val="0"/>
          <w:szCs w:val="21"/>
        </w:rPr>
        <w:t>乙方应有员工群体性事件、意外事故的处置方案，师生投诉建议、网络舆情的应对措施以及突发事件应急预案。杜绝学生集体性食物中毒、火灾、拥挤踩踏等群体性安全事故和网络舆情事件发生。</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第十八条</w:t>
      </w:r>
      <w:r>
        <w:rPr>
          <w:rFonts w:hint="eastAsia" w:ascii="宋体" w:hAnsi="宋体"/>
          <w:color w:val="000000" w:themeColor="text1"/>
          <w:kern w:val="0"/>
          <w:szCs w:val="21"/>
        </w:rPr>
        <w:t>乙方必须以食品质量与安全管理为核心环节，确保食品质量和食品安全。乙方应从重庆教育后勤协会准入供货企业中选择供货商采购米、面、油、肉等主要原材料，坚持索证制度并建立健全台账，乙方全部进货食品必须有《质检报告》，建立《进出货登记册》，如实登记如下事项：品名、进货渠道（或生产厂商）、检疫证明、生产日期、质保期、进库日期、出库日期、出库量、库存余量等。在接受市区两级食药监局等有关职能部门以及市教委、高校后勤协会等各级各类检查时，承担安全、卫生、饭菜质量和价格等方面问题的责任，给学校造成不良影响的，视其情节每发生一次给予壹千元及以上处罚；乙方提供霉烂变质食物（包括库存中有霉变货物）等，每发生一次给予壹万元处罚；发生投毒或食物中毒事件，甲方除扣除履约保证金外，乙方还必须承担因此而造成的所有责任，甲方有权解除合同。</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第十九条</w:t>
      </w:r>
      <w:r>
        <w:rPr>
          <w:rFonts w:hint="eastAsia" w:ascii="宋体" w:hAnsi="宋体"/>
          <w:color w:val="000000" w:themeColor="text1"/>
          <w:kern w:val="0"/>
          <w:szCs w:val="21"/>
        </w:rPr>
        <w:t>乙方须按照相关规定，执行并达到“门前三包责任制”的相关要求。乙方必须按“创建国家卫生城市的标准”，认真做好食堂内外的环境卫生和除四害工作，做到经常性灭蚊蝇工作，灭鼠工作要根据学校统一安排每学期开展二次以上（每次灭鼠工作必须向甲方报方案，并做好安全工作），环境卫生能够以优秀成绩通过教育行政部门、卫生执法部门的各种监督检查。乙方必须严格执行消防安全“四个能力”建设的要求，提高检查消除火灾隐患、组织扑救初起火灾、组织人员疏散逃生、消防宣传教育培训的能力，经营食堂所有烟道等排油烟系统每年至少清洗两次。</w:t>
      </w:r>
    </w:p>
    <w:p>
      <w:pPr>
        <w:ind w:firstLine="422" w:firstLineChars="200"/>
        <w:rPr>
          <w:rFonts w:ascii="宋体"/>
          <w:color w:val="FF0000"/>
          <w:kern w:val="0"/>
          <w:szCs w:val="21"/>
        </w:rPr>
      </w:pPr>
      <w:r>
        <w:rPr>
          <w:rFonts w:hint="eastAsia" w:ascii="宋体" w:hAnsi="宋体"/>
          <w:b/>
          <w:bCs/>
          <w:color w:val="000000" w:themeColor="text1"/>
          <w:kern w:val="0"/>
          <w:szCs w:val="21"/>
        </w:rPr>
        <w:t>第二十条</w:t>
      </w:r>
      <w:r>
        <w:rPr>
          <w:rFonts w:hint="eastAsia" w:ascii="宋体" w:hAnsi="宋体"/>
          <w:color w:val="000000" w:themeColor="text1"/>
          <w:kern w:val="0"/>
          <w:szCs w:val="21"/>
        </w:rPr>
        <w:t>未经甲方书面同意</w:t>
      </w:r>
      <w:r>
        <w:rPr>
          <w:rFonts w:hint="eastAsia" w:ascii="宋体" w:hAnsi="宋体"/>
          <w:kern w:val="0"/>
          <w:szCs w:val="21"/>
        </w:rPr>
        <w:t>，乙方不得将食堂全部或者部分转租、转借或其他任意形式转交给任何单位或个人进行经营。否则甲方有权按照每次伍万元的标准给予乙方违约处罚（经甲方同意备案的乙方战略合作伙伴除外）。</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第二十一条</w:t>
      </w:r>
      <w:r>
        <w:rPr>
          <w:rFonts w:hint="eastAsia" w:ascii="宋体" w:hAnsi="宋体"/>
          <w:color w:val="000000" w:themeColor="text1"/>
          <w:kern w:val="0"/>
          <w:szCs w:val="21"/>
        </w:rPr>
        <w:t>乙方必须使用一卡通消费刷卡系统和经甲方审批通过的现金收银系统进行交易，乙方不得以任何其它形式进行交易，否则经查实后甲方将按照每次壹万元标准给予乙方违约处罚，若当月发现三次以上违规交易的情况，则扣除当月营业额的</w:t>
      </w:r>
      <w:r>
        <w:rPr>
          <w:rFonts w:ascii="宋体" w:hAnsi="宋体"/>
          <w:color w:val="000000" w:themeColor="text1"/>
          <w:kern w:val="0"/>
          <w:szCs w:val="21"/>
        </w:rPr>
        <w:t>20%</w:t>
      </w:r>
      <w:r>
        <w:rPr>
          <w:rFonts w:hint="eastAsia" w:ascii="宋体" w:hAnsi="宋体"/>
          <w:color w:val="000000" w:themeColor="text1"/>
          <w:kern w:val="0"/>
          <w:szCs w:val="21"/>
        </w:rPr>
        <w:t>作为违约金。</w:t>
      </w:r>
    </w:p>
    <w:p>
      <w:pPr>
        <w:ind w:firstLine="420" w:firstLineChars="200"/>
        <w:rPr>
          <w:rFonts w:ascii="宋体" w:hAnsi="宋体"/>
          <w:color w:val="FF0000"/>
          <w:kern w:val="0"/>
          <w:szCs w:val="21"/>
        </w:rPr>
      </w:pPr>
      <w:r>
        <w:rPr>
          <w:rFonts w:hint="eastAsia" w:ascii="宋体" w:hAnsi="宋体"/>
          <w:kern w:val="0"/>
          <w:szCs w:val="21"/>
        </w:rPr>
        <w:t>一卡通刷卡系统由甲方提供，并负责一卡通刷卡系统的充值、正常运行工作；乙方应承担在食堂使用一卡通刷卡系统配置费用（如：线路布局、卡机等）。</w:t>
      </w:r>
      <w:r>
        <w:rPr>
          <w:rFonts w:hint="eastAsia" w:ascii="宋体" w:hAnsi="宋体"/>
          <w:color w:val="000000" w:themeColor="text1"/>
          <w:kern w:val="0"/>
          <w:szCs w:val="21"/>
        </w:rPr>
        <w:t>乙方应妥善保管和使用一卡通刷卡系统，若使用过程中，因管理不善或人为破坏等原因造成一卡通设备损坏、遗失的，则由乙方负责维修或更换。</w:t>
      </w:r>
    </w:p>
    <w:p>
      <w:pPr>
        <w:ind w:firstLine="420" w:firstLineChars="200"/>
        <w:rPr>
          <w:rFonts w:ascii="宋体" w:hAnsi="宋体"/>
          <w:color w:val="000000" w:themeColor="text1"/>
          <w:kern w:val="0"/>
          <w:szCs w:val="21"/>
        </w:rPr>
      </w:pPr>
      <w:r>
        <w:rPr>
          <w:rFonts w:hint="eastAsia" w:ascii="宋体" w:hAnsi="宋体"/>
          <w:color w:val="000000" w:themeColor="text1"/>
          <w:kern w:val="0"/>
          <w:szCs w:val="21"/>
        </w:rPr>
        <w:t>乙方于次月中旬（遇周末或节假日则顺延）前到甲方指定的管理部门结算上月的刷卡消费款项。结算前，甲方有权在乙方的刷卡消费款项中直接扣除本合同约定的、应当由乙方承担的事故赔偿金额或其他违约处罚金。如果乙方当月的刷卡消费款不足以支付当月应当承担的违约金时，甲方可以选择在乙方缴纳的履约保证金中扣取，也可以选择在乙方下一月或几月的刷卡消费款中扣取。乙方缴纳的履约保证金被扣取后不足约定金额时，甲方可以直接在乙方的刷卡消费款中扣取不足部分。乙方违约赔偿或事故责任赔偿事宜处理完善前不得结算。</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第二十二条</w:t>
      </w:r>
      <w:r>
        <w:rPr>
          <w:rFonts w:hint="eastAsia" w:ascii="宋体" w:hAnsi="宋体"/>
          <w:color w:val="000000" w:themeColor="text1"/>
          <w:kern w:val="0"/>
          <w:szCs w:val="21"/>
        </w:rPr>
        <w:t>合同期满或经营期内解除合同时，</w:t>
      </w:r>
      <w:r>
        <w:rPr>
          <w:rFonts w:hint="eastAsia" w:ascii="宋体" w:hAnsi="宋体"/>
          <w:kern w:val="0"/>
          <w:szCs w:val="21"/>
        </w:rPr>
        <w:t>装修产权归学校所有，</w:t>
      </w:r>
      <w:r>
        <w:rPr>
          <w:rFonts w:hint="eastAsia" w:ascii="宋体" w:hAnsi="宋体"/>
          <w:color w:val="000000" w:themeColor="text1"/>
          <w:kern w:val="0"/>
          <w:szCs w:val="21"/>
        </w:rPr>
        <w:t>乙方在撤离时如数返还甲方原有设施设备，并自行处置自己投入的食堂餐厨设施设备，学校不负责回收及处理，同时，完成食堂内的清洁工作。乙方逾期未撤离，甲方有权单方处置乙方投入的食堂餐厨设施设备，由此造成的一切后果与损失由乙方承担。乙方在合同期内可以对食堂进行再次装修，其装修费用均由乙方自行承担，同时，乙方再次装修方案必须经甲方书面同意后方可进行，否则给予伍万元处罚。</w:t>
      </w:r>
    </w:p>
    <w:p>
      <w:pPr>
        <w:ind w:firstLine="422" w:firstLineChars="200"/>
        <w:rPr>
          <w:rFonts w:ascii="宋体"/>
          <w:color w:val="000000" w:themeColor="text1"/>
          <w:szCs w:val="21"/>
        </w:rPr>
      </w:pPr>
      <w:r>
        <w:rPr>
          <w:rFonts w:hint="eastAsia" w:ascii="宋体" w:hAnsi="宋体"/>
          <w:b/>
          <w:bCs/>
          <w:color w:val="000000" w:themeColor="text1"/>
          <w:kern w:val="0"/>
          <w:szCs w:val="21"/>
        </w:rPr>
        <w:t>第二十三条</w:t>
      </w:r>
      <w:r>
        <w:rPr>
          <w:rFonts w:hint="eastAsia" w:ascii="宋体" w:hAnsi="宋体"/>
          <w:color w:val="000000" w:themeColor="text1"/>
          <w:kern w:val="0"/>
          <w:szCs w:val="21"/>
        </w:rPr>
        <w:t>在合同期内或解除合同后，乙方均不得以甲方的名义对外进行任何形式的借贷等经济往来活动和其它性质的活动。如乙方在</w:t>
      </w:r>
      <w:r>
        <w:rPr>
          <w:rFonts w:hint="eastAsia" w:ascii="宋体" w:hAnsi="宋体"/>
          <w:color w:val="000000" w:themeColor="text1"/>
          <w:szCs w:val="21"/>
        </w:rPr>
        <w:t>经营过程中发生质量事故、安全事故等问题时，由乙方全权负责对外赔偿。如因乙方原因产生法律纠纷而第三人请求甲方赔偿时，甲方承担赔偿责任后，甲方有权向乙方追偿。</w:t>
      </w:r>
    </w:p>
    <w:p>
      <w:pPr>
        <w:ind w:firstLine="422" w:firstLineChars="200"/>
        <w:rPr>
          <w:rFonts w:ascii="宋体"/>
          <w:color w:val="000000" w:themeColor="text1"/>
          <w:szCs w:val="21"/>
        </w:rPr>
      </w:pPr>
      <w:r>
        <w:rPr>
          <w:rFonts w:hint="eastAsia" w:ascii="宋体" w:hAnsi="宋体"/>
          <w:b/>
          <w:bCs/>
          <w:color w:val="000000" w:themeColor="text1"/>
          <w:kern w:val="0"/>
          <w:szCs w:val="21"/>
        </w:rPr>
        <w:t>第二十四条</w:t>
      </w:r>
      <w:r>
        <w:rPr>
          <w:rFonts w:hint="eastAsia" w:ascii="宋体" w:hAnsi="宋体"/>
          <w:color w:val="000000" w:themeColor="text1"/>
          <w:szCs w:val="21"/>
        </w:rPr>
        <w:t>乙方不得以甲方名义聘用员工，乙方因经营需要自行聘用员工时，应严格按照《劳动法》和《劳动合同法》的规定进行聘用和管理，并报甲方备案。在本合同期内及解除合同后，乙方聘用人员的劳动关系、劳动权益、工资福利、社会保险等全部责任和费用均由乙方负责，甲方均不承担乙方聘用员工的任何责任和费用。同时，乙方因劳务关系或其它原因导致甲方不能正常收回经营场地或不能正常经营的，乙方应按每天两万元的损失赔偿甲方。</w:t>
      </w:r>
    </w:p>
    <w:p>
      <w:pPr>
        <w:ind w:firstLine="420" w:firstLineChars="200"/>
        <w:rPr>
          <w:rFonts w:ascii="宋体"/>
          <w:color w:val="000000" w:themeColor="text1"/>
          <w:kern w:val="0"/>
          <w:szCs w:val="21"/>
        </w:rPr>
      </w:pPr>
      <w:r>
        <w:rPr>
          <w:rFonts w:hint="eastAsia" w:ascii="宋体" w:hAnsi="宋体"/>
          <w:color w:val="000000" w:themeColor="text1"/>
          <w:kern w:val="0"/>
          <w:szCs w:val="21"/>
        </w:rPr>
        <w:t>乙方应制定完善的员工管理办法和制度，乙方必须做好内部员工管理，包括安全和稳定的管理。乙方应妥善处理与就餐人员之间的矛盾、冲突，且不得使冲突升级为打人事件，否则，应承担由此所产生的所有责任；若因内部员工工伤、工资报酬、供货商、合作商、贷款纠纷等情况出现上访事件，每出现一次将扣除不低于壹万元的违约金，造成重大不良影响者甲方有权单方面解合同，并不退还全部履约保证金。</w:t>
      </w:r>
      <w:r>
        <w:rPr>
          <w:rFonts w:hint="eastAsia" w:ascii="宋体" w:hAnsi="宋体"/>
          <w:color w:val="000000" w:themeColor="text1"/>
          <w:szCs w:val="21"/>
        </w:rPr>
        <w:t>乙方或乙方工作人员应遵守甲方相关规章制度，因乙方或乙方工作人员原因给自身、甲方或第三方造成的一切人身、财产损害等后果由乙方承担。</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第二十五条</w:t>
      </w:r>
      <w:r>
        <w:rPr>
          <w:rFonts w:hint="eastAsia" w:ascii="宋体" w:hAnsi="宋体"/>
          <w:color w:val="000000" w:themeColor="text1"/>
          <w:kern w:val="0"/>
          <w:szCs w:val="21"/>
        </w:rPr>
        <w:t>乙方独立经营，自负盈亏，独立承担经营风险</w:t>
      </w:r>
      <w:r>
        <w:rPr>
          <w:rFonts w:hint="eastAsia" w:ascii="宋体" w:hAnsi="宋体"/>
          <w:color w:val="000000" w:themeColor="text1"/>
          <w:szCs w:val="21"/>
        </w:rPr>
        <w:t>。甲方对乙方的联合经营考核按照《长江师范学院南苑食府、接待中心联合经营管理日常考核实施细则》、《长江师范学院南苑食府、接待中心联合经营管理与服务考核办法》和《长江师范学院南苑食府、接待中心联合经营合同期满专家组考核指标》及办法执行。</w:t>
      </w:r>
    </w:p>
    <w:p>
      <w:pPr>
        <w:ind w:firstLine="420" w:firstLineChars="200"/>
        <w:rPr>
          <w:rFonts w:ascii="宋体"/>
          <w:color w:val="000000" w:themeColor="text1"/>
          <w:kern w:val="0"/>
          <w:szCs w:val="21"/>
        </w:rPr>
      </w:pPr>
      <w:r>
        <w:rPr>
          <w:rFonts w:hint="eastAsia" w:ascii="宋体" w:hAnsi="宋体"/>
          <w:color w:val="000000" w:themeColor="text1"/>
          <w:kern w:val="0"/>
          <w:szCs w:val="21"/>
        </w:rPr>
        <w:t>甲方除常规检查外，还将不定期地会同相关人员（学生代表、教师代表、家长代表等）就乙方提供的菜品种类结构及价格、卫生、饭菜质量、服务态度等项目进行随机检查，若发现饭菜质量和服务态度问题，则每次给予壹仟元处罚，若随机抽查</w:t>
      </w:r>
      <w:r>
        <w:rPr>
          <w:rFonts w:ascii="宋体" w:hAnsi="宋体"/>
          <w:color w:val="000000" w:themeColor="text1"/>
          <w:kern w:val="0"/>
          <w:szCs w:val="21"/>
        </w:rPr>
        <w:t>20</w:t>
      </w:r>
      <w:r>
        <w:rPr>
          <w:rFonts w:hint="eastAsia" w:ascii="宋体" w:hAnsi="宋体"/>
          <w:color w:val="000000" w:themeColor="text1"/>
          <w:kern w:val="0"/>
          <w:szCs w:val="21"/>
        </w:rPr>
        <w:t>人及其以上的满意度未达到</w:t>
      </w:r>
      <w:r>
        <w:rPr>
          <w:rFonts w:ascii="宋体" w:hAnsi="宋体"/>
          <w:color w:val="000000" w:themeColor="text1"/>
          <w:kern w:val="0"/>
          <w:szCs w:val="21"/>
        </w:rPr>
        <w:t>70%</w:t>
      </w:r>
      <w:r>
        <w:rPr>
          <w:rFonts w:hint="eastAsia" w:ascii="宋体" w:hAnsi="宋体"/>
          <w:color w:val="000000" w:themeColor="text1"/>
          <w:kern w:val="0"/>
          <w:szCs w:val="21"/>
        </w:rPr>
        <w:t>，则每次给予壹仟元处罚。因饭菜质量、价格和卫生等问题造成学生集体（</w:t>
      </w:r>
      <w:r>
        <w:rPr>
          <w:rFonts w:ascii="宋体" w:hAnsi="宋体"/>
          <w:color w:val="000000" w:themeColor="text1"/>
          <w:kern w:val="0"/>
          <w:szCs w:val="21"/>
        </w:rPr>
        <w:t>10</w:t>
      </w:r>
      <w:r>
        <w:rPr>
          <w:rFonts w:hint="eastAsia" w:ascii="宋体" w:hAnsi="宋体"/>
          <w:color w:val="000000" w:themeColor="text1"/>
          <w:kern w:val="0"/>
          <w:szCs w:val="21"/>
        </w:rPr>
        <w:t>人及其以上）上访或</w:t>
      </w:r>
      <w:r>
        <w:rPr>
          <w:rFonts w:ascii="宋体" w:hAnsi="宋体"/>
          <w:color w:val="000000" w:themeColor="text1"/>
          <w:kern w:val="0"/>
          <w:szCs w:val="21"/>
        </w:rPr>
        <w:t>30</w:t>
      </w:r>
      <w:r>
        <w:rPr>
          <w:rFonts w:hint="eastAsia" w:ascii="宋体" w:hAnsi="宋体"/>
          <w:color w:val="000000" w:themeColor="text1"/>
          <w:kern w:val="0"/>
          <w:szCs w:val="21"/>
        </w:rPr>
        <w:t>人及其以上集体签名反映问题的，则每次给予伍万元处罚，情节严重者甲方有权扣除履约保证金直至解除联合经营合同。</w:t>
      </w:r>
    </w:p>
    <w:p>
      <w:pPr>
        <w:ind w:firstLine="422" w:firstLineChars="200"/>
        <w:rPr>
          <w:rFonts w:ascii="宋体"/>
          <w:color w:val="000000" w:themeColor="text1"/>
          <w:szCs w:val="21"/>
        </w:rPr>
      </w:pPr>
      <w:r>
        <w:rPr>
          <w:rFonts w:hint="eastAsia" w:ascii="宋体" w:hAnsi="宋体"/>
          <w:b/>
          <w:bCs/>
          <w:color w:val="000000" w:themeColor="text1"/>
          <w:kern w:val="0"/>
          <w:szCs w:val="21"/>
        </w:rPr>
        <w:t>第二十六条</w:t>
      </w:r>
      <w:r>
        <w:rPr>
          <w:rFonts w:hint="eastAsia" w:ascii="宋体" w:hAnsi="宋体"/>
          <w:color w:val="000000" w:themeColor="text1"/>
          <w:szCs w:val="21"/>
        </w:rPr>
        <w:t>乙方应当正确使用并妥善保管甲方提供的各类设施设备（详见设施设备清单），乙方应保证资产不流失，并做好相应的维修维护和保养工作，若有损坏或丢失，由乙方负责维修或赔偿。在经营过程中，食堂设施设备的维修维护由乙方自行负责并承担相应费</w:t>
      </w:r>
      <w:r>
        <w:rPr>
          <w:rFonts w:hint="eastAsia" w:ascii="宋体" w:hAnsi="宋体"/>
          <w:color w:val="000000" w:themeColor="text1"/>
          <w:kern w:val="0"/>
          <w:szCs w:val="21"/>
        </w:rPr>
        <w:t>用。</w:t>
      </w:r>
    </w:p>
    <w:p>
      <w:pPr>
        <w:jc w:val="center"/>
        <w:rPr>
          <w:rFonts w:ascii="宋体"/>
          <w:b/>
          <w:color w:val="000000" w:themeColor="text1"/>
          <w:sz w:val="28"/>
          <w:szCs w:val="28"/>
        </w:rPr>
      </w:pPr>
      <w:r>
        <w:rPr>
          <w:rFonts w:hint="eastAsia" w:ascii="宋体" w:hAnsi="宋体"/>
          <w:b/>
          <w:color w:val="000000" w:themeColor="text1"/>
          <w:sz w:val="28"/>
          <w:szCs w:val="28"/>
        </w:rPr>
        <w:t>第四部分合同解除的条件</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第二十七条</w:t>
      </w:r>
      <w:r>
        <w:rPr>
          <w:rFonts w:hint="eastAsia" w:ascii="宋体" w:hAnsi="宋体"/>
          <w:color w:val="000000" w:themeColor="text1"/>
          <w:kern w:val="0"/>
          <w:szCs w:val="21"/>
        </w:rPr>
        <w:t>如果发生下列情形之一，甲方有权单方面解除本合同且不承担任何责任：</w:t>
      </w:r>
    </w:p>
    <w:p>
      <w:pPr>
        <w:ind w:firstLine="420" w:firstLineChars="200"/>
        <w:rPr>
          <w:rFonts w:asci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.乙方不交付或者不按约定交付食堂联合经营管理费逾期达十日以上；</w:t>
      </w:r>
    </w:p>
    <w:p>
      <w:pPr>
        <w:ind w:firstLine="420" w:firstLineChars="200"/>
        <w:rPr>
          <w:rFonts w:ascii="宋体"/>
          <w:color w:val="000000" w:themeColor="text1"/>
          <w:kern w:val="0"/>
          <w:szCs w:val="21"/>
        </w:rPr>
      </w:pPr>
      <w:r>
        <w:rPr>
          <w:rFonts w:ascii="宋体" w:hAnsi="宋体"/>
          <w:color w:val="000000" w:themeColor="text1"/>
          <w:kern w:val="0"/>
          <w:szCs w:val="21"/>
        </w:rPr>
        <w:t>2</w:t>
      </w:r>
      <w:r>
        <w:rPr>
          <w:rFonts w:hint="eastAsia" w:ascii="宋体" w:hAnsi="宋体"/>
          <w:color w:val="000000" w:themeColor="text1"/>
          <w:kern w:val="0"/>
          <w:szCs w:val="21"/>
        </w:rPr>
        <w:t>.乙方拖欠应向甲方缴纳的各项费用达壹万元以上；</w:t>
      </w:r>
    </w:p>
    <w:p>
      <w:pPr>
        <w:ind w:firstLine="420" w:firstLineChars="200"/>
        <w:rPr>
          <w:rFonts w:ascii="宋体"/>
          <w:color w:val="000000" w:themeColor="text1"/>
          <w:kern w:val="0"/>
          <w:szCs w:val="21"/>
        </w:rPr>
      </w:pPr>
      <w:r>
        <w:rPr>
          <w:rFonts w:ascii="宋体" w:hAnsi="宋体"/>
          <w:color w:val="000000" w:themeColor="text1"/>
          <w:kern w:val="0"/>
          <w:szCs w:val="21"/>
        </w:rPr>
        <w:t>3</w:t>
      </w:r>
      <w:r>
        <w:rPr>
          <w:rFonts w:hint="eastAsia" w:ascii="宋体" w:hAnsi="宋体"/>
          <w:color w:val="000000" w:themeColor="text1"/>
          <w:kern w:val="0"/>
          <w:szCs w:val="21"/>
        </w:rPr>
        <w:t>.乙方未经甲方书面同意，擅自改变经营用途、经营项目或超范围经营；</w:t>
      </w:r>
    </w:p>
    <w:p>
      <w:pPr>
        <w:ind w:firstLine="420" w:firstLineChars="200"/>
        <w:rPr>
          <w:rFonts w:ascii="宋体"/>
          <w:color w:val="000000" w:themeColor="text1"/>
          <w:kern w:val="0"/>
          <w:szCs w:val="21"/>
        </w:rPr>
      </w:pPr>
      <w:r>
        <w:rPr>
          <w:rFonts w:ascii="宋体" w:hAnsi="宋体"/>
          <w:color w:val="000000" w:themeColor="text1"/>
          <w:kern w:val="0"/>
          <w:szCs w:val="21"/>
        </w:rPr>
        <w:t>4</w:t>
      </w:r>
      <w:r>
        <w:rPr>
          <w:rFonts w:hint="eastAsia" w:ascii="宋体" w:hAnsi="宋体"/>
          <w:color w:val="000000" w:themeColor="text1"/>
          <w:kern w:val="0"/>
          <w:szCs w:val="21"/>
        </w:rPr>
        <w:t>.乙方违反本合同约定，不承担管理维护或维修责任致使食堂的设施设备严重损坏，而拒绝承担维修或赔偿责任的；</w:t>
      </w:r>
    </w:p>
    <w:p>
      <w:pPr>
        <w:ind w:firstLine="420" w:firstLineChars="200"/>
        <w:rPr>
          <w:rFonts w:ascii="宋体"/>
          <w:kern w:val="0"/>
          <w:szCs w:val="21"/>
        </w:rPr>
      </w:pPr>
      <w:r>
        <w:rPr>
          <w:rFonts w:ascii="宋体" w:hAnsi="宋体"/>
          <w:color w:val="000000" w:themeColor="text1"/>
          <w:kern w:val="0"/>
          <w:szCs w:val="21"/>
        </w:rPr>
        <w:t>5</w:t>
      </w:r>
      <w:r>
        <w:rPr>
          <w:rFonts w:hint="eastAsia" w:ascii="宋体" w:hAnsi="宋体"/>
          <w:color w:val="000000" w:themeColor="text1"/>
          <w:kern w:val="0"/>
          <w:szCs w:val="21"/>
        </w:rPr>
        <w:t>.乙方未经甲方书面同意，</w:t>
      </w:r>
      <w:r>
        <w:rPr>
          <w:rFonts w:hint="eastAsia" w:ascii="宋体" w:hAnsi="宋体"/>
          <w:kern w:val="0"/>
          <w:szCs w:val="21"/>
        </w:rPr>
        <w:t>将食堂全部或者部分转租、转借或其他任意形式转交给任何单位或个人进行经营的；</w:t>
      </w:r>
    </w:p>
    <w:p>
      <w:pPr>
        <w:ind w:firstLine="420" w:firstLineChars="200"/>
        <w:rPr>
          <w:rFonts w:ascii="宋体"/>
          <w:color w:val="000000" w:themeColor="text1"/>
          <w:kern w:val="0"/>
          <w:szCs w:val="21"/>
        </w:rPr>
      </w:pPr>
      <w:r>
        <w:rPr>
          <w:rFonts w:ascii="宋体" w:hAnsi="宋体"/>
          <w:color w:val="000000" w:themeColor="text1"/>
          <w:kern w:val="0"/>
          <w:szCs w:val="21"/>
        </w:rPr>
        <w:t>6</w:t>
      </w:r>
      <w:r>
        <w:rPr>
          <w:rFonts w:hint="eastAsia" w:ascii="宋体" w:hAnsi="宋体"/>
          <w:color w:val="000000" w:themeColor="text1"/>
          <w:kern w:val="0"/>
          <w:szCs w:val="21"/>
        </w:rPr>
        <w:t>.乙方在甲方校园内进行违法活动经查实的；</w:t>
      </w:r>
    </w:p>
    <w:p>
      <w:pPr>
        <w:ind w:firstLine="420" w:firstLineChars="200"/>
        <w:rPr>
          <w:rFonts w:ascii="宋体"/>
          <w:color w:val="000000" w:themeColor="text1"/>
          <w:kern w:val="0"/>
          <w:szCs w:val="21"/>
        </w:rPr>
      </w:pPr>
      <w:r>
        <w:rPr>
          <w:rFonts w:ascii="宋体" w:hAnsi="宋体"/>
          <w:color w:val="000000" w:themeColor="text1"/>
          <w:kern w:val="0"/>
          <w:szCs w:val="21"/>
        </w:rPr>
        <w:t>7.</w:t>
      </w:r>
      <w:r>
        <w:rPr>
          <w:rFonts w:hint="eastAsia" w:ascii="宋体" w:hAnsi="宋体"/>
          <w:color w:val="000000" w:themeColor="text1"/>
          <w:kern w:val="0"/>
          <w:szCs w:val="21"/>
        </w:rPr>
        <w:t>因教育主管部门或学校建设、发展需要等政策因素规定须解除合同的；</w:t>
      </w:r>
    </w:p>
    <w:p>
      <w:pPr>
        <w:ind w:firstLine="420" w:firstLineChars="200"/>
        <w:rPr>
          <w:rFonts w:ascii="宋体"/>
          <w:color w:val="000000" w:themeColor="text1"/>
          <w:kern w:val="0"/>
          <w:szCs w:val="21"/>
        </w:rPr>
      </w:pPr>
      <w:r>
        <w:rPr>
          <w:rFonts w:ascii="宋体" w:hAnsi="宋体"/>
          <w:color w:val="000000" w:themeColor="text1"/>
          <w:kern w:val="0"/>
          <w:szCs w:val="21"/>
        </w:rPr>
        <w:t>8.</w:t>
      </w:r>
      <w:r>
        <w:rPr>
          <w:rFonts w:hint="eastAsia" w:ascii="宋体" w:hAnsi="宋体"/>
          <w:color w:val="000000" w:themeColor="text1"/>
          <w:kern w:val="0"/>
          <w:szCs w:val="21"/>
        </w:rPr>
        <w:t>乙方违反甲方食堂经营和管理的规定，未在限期内整改或整改不达标的；</w:t>
      </w:r>
    </w:p>
    <w:p>
      <w:pPr>
        <w:ind w:firstLine="420" w:firstLineChars="200"/>
        <w:rPr>
          <w:rFonts w:ascii="宋体"/>
          <w:color w:val="000000" w:themeColor="text1"/>
          <w:kern w:val="0"/>
          <w:szCs w:val="21"/>
        </w:rPr>
      </w:pPr>
      <w:r>
        <w:rPr>
          <w:rFonts w:ascii="宋体" w:hAnsi="宋体"/>
          <w:color w:val="000000" w:themeColor="text1"/>
          <w:kern w:val="0"/>
          <w:szCs w:val="21"/>
        </w:rPr>
        <w:t>9.</w:t>
      </w:r>
      <w:r>
        <w:rPr>
          <w:rFonts w:hint="eastAsia" w:ascii="宋体" w:hAnsi="宋体"/>
          <w:color w:val="000000" w:themeColor="text1"/>
          <w:kern w:val="0"/>
          <w:szCs w:val="21"/>
        </w:rPr>
        <w:t>乙方的履约保证金全部或者部分被扣取后未在七个工作日内补足的；</w:t>
      </w:r>
    </w:p>
    <w:p>
      <w:pPr>
        <w:ind w:firstLine="420" w:firstLineChars="200"/>
        <w:rPr>
          <w:rFonts w:ascii="宋体"/>
          <w:color w:val="000000" w:themeColor="text1"/>
          <w:kern w:val="0"/>
          <w:szCs w:val="21"/>
        </w:rPr>
      </w:pPr>
      <w:r>
        <w:rPr>
          <w:rFonts w:ascii="宋体" w:hAnsi="宋体"/>
          <w:color w:val="000000" w:themeColor="text1"/>
          <w:kern w:val="0"/>
          <w:szCs w:val="21"/>
        </w:rPr>
        <w:t>10.</w:t>
      </w:r>
      <w:r>
        <w:rPr>
          <w:rFonts w:hint="eastAsia" w:ascii="宋体" w:hAnsi="宋体"/>
          <w:color w:val="000000" w:themeColor="text1"/>
          <w:kern w:val="0"/>
          <w:szCs w:val="21"/>
        </w:rPr>
        <w:t>在乙方经营的食堂内出现重大食品卫生安全责任事故、消防安全责任事故等事故的；</w:t>
      </w:r>
    </w:p>
    <w:p>
      <w:pPr>
        <w:ind w:firstLine="420" w:firstLineChars="200"/>
        <w:rPr>
          <w:rFonts w:ascii="宋体"/>
          <w:color w:val="000000" w:themeColor="text1"/>
          <w:kern w:val="0"/>
          <w:szCs w:val="21"/>
        </w:rPr>
      </w:pPr>
      <w:r>
        <w:rPr>
          <w:rFonts w:ascii="宋体" w:hAnsi="宋体"/>
          <w:color w:val="000000" w:themeColor="text1"/>
          <w:kern w:val="0"/>
          <w:szCs w:val="21"/>
        </w:rPr>
        <w:t>11.</w:t>
      </w:r>
      <w:r>
        <w:rPr>
          <w:rFonts w:hint="eastAsia" w:ascii="宋体" w:hAnsi="宋体"/>
          <w:color w:val="000000" w:themeColor="text1"/>
          <w:kern w:val="0"/>
          <w:szCs w:val="21"/>
        </w:rPr>
        <w:t>法律、法规规定的其它解除合同的情形。</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第二十八条</w:t>
      </w:r>
      <w:r>
        <w:rPr>
          <w:rFonts w:hint="eastAsia" w:ascii="宋体" w:hAnsi="宋体"/>
          <w:color w:val="000000" w:themeColor="text1"/>
          <w:kern w:val="0"/>
          <w:szCs w:val="21"/>
        </w:rPr>
        <w:t>有下列情形之一，乙方有权解除本合同，且不承担任何责任：</w:t>
      </w:r>
    </w:p>
    <w:p>
      <w:pPr>
        <w:ind w:firstLine="420" w:firstLineChars="200"/>
        <w:rPr>
          <w:rFonts w:asci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.甲方延迟交付联合经营食堂</w:t>
      </w:r>
      <w:r>
        <w:rPr>
          <w:rFonts w:ascii="宋体" w:hAnsi="宋体"/>
          <w:color w:val="000000" w:themeColor="text1"/>
          <w:kern w:val="0"/>
          <w:szCs w:val="21"/>
        </w:rPr>
        <w:t>2</w:t>
      </w:r>
      <w:r>
        <w:rPr>
          <w:rFonts w:hint="eastAsia" w:ascii="宋体" w:hAnsi="宋体"/>
          <w:color w:val="000000" w:themeColor="text1"/>
          <w:kern w:val="0"/>
          <w:szCs w:val="21"/>
        </w:rPr>
        <w:t>个月以上；</w:t>
      </w:r>
    </w:p>
    <w:p>
      <w:pPr>
        <w:ind w:firstLine="420" w:firstLineChars="200"/>
        <w:rPr>
          <w:rFonts w:ascii="宋体"/>
          <w:color w:val="000000" w:themeColor="text1"/>
          <w:kern w:val="0"/>
          <w:szCs w:val="21"/>
        </w:rPr>
      </w:pPr>
      <w:r>
        <w:rPr>
          <w:rFonts w:ascii="宋体" w:hAnsi="宋体"/>
          <w:color w:val="000000" w:themeColor="text1"/>
          <w:kern w:val="0"/>
          <w:szCs w:val="21"/>
        </w:rPr>
        <w:t>2</w:t>
      </w:r>
      <w:r>
        <w:rPr>
          <w:rFonts w:hint="eastAsia" w:ascii="宋体" w:hAnsi="宋体"/>
          <w:color w:val="000000" w:themeColor="text1"/>
          <w:kern w:val="0"/>
          <w:szCs w:val="21"/>
        </w:rPr>
        <w:t>.法律、法规规定的其它解除合同的情形。</w:t>
      </w:r>
    </w:p>
    <w:p>
      <w:pPr>
        <w:jc w:val="center"/>
        <w:rPr>
          <w:rFonts w:ascii="宋体"/>
          <w:b/>
          <w:color w:val="000000" w:themeColor="text1"/>
          <w:sz w:val="28"/>
          <w:szCs w:val="28"/>
        </w:rPr>
      </w:pPr>
      <w:r>
        <w:rPr>
          <w:rFonts w:hint="eastAsia" w:ascii="宋体" w:hAnsi="宋体"/>
          <w:b/>
          <w:color w:val="000000" w:themeColor="text1"/>
          <w:sz w:val="28"/>
          <w:szCs w:val="28"/>
        </w:rPr>
        <w:t>第五部分违约责任</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第二十九条</w:t>
      </w:r>
      <w:r>
        <w:rPr>
          <w:rFonts w:hint="eastAsia" w:ascii="宋体" w:hAnsi="宋体"/>
          <w:color w:val="000000" w:themeColor="text1"/>
          <w:kern w:val="0"/>
          <w:szCs w:val="21"/>
        </w:rPr>
        <w:t>乙方在合同期内（包括合同延展期，下同）如果没有向甲方进行书面申请并获得同意，而擅自关闭食堂的全部或部分经营窗口超过一天及以上时间，影响师生正常就餐的，每关闭一天给予伍仟元处罚。情节严重者甲方可提前解除本合同，并且不用承担任何违约责任。</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第三十条</w:t>
      </w:r>
      <w:r>
        <w:rPr>
          <w:rFonts w:hint="eastAsia" w:ascii="宋体" w:hAnsi="宋体"/>
          <w:color w:val="000000" w:themeColor="text1"/>
          <w:kern w:val="0"/>
          <w:szCs w:val="21"/>
        </w:rPr>
        <w:t>乙方在合同期内提出提前解除本合同，放弃经营资格的，必须至少提前三个月告知甲方，征得甲方书面同意后方可解除本合同，并不承担违约责任。否则乙方必须承担违约责任并扣取履约保证金。</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第三十一条</w:t>
      </w:r>
      <w:r>
        <w:rPr>
          <w:rFonts w:hint="eastAsia" w:ascii="宋体" w:hAnsi="宋体"/>
          <w:color w:val="000000" w:themeColor="text1"/>
          <w:kern w:val="0"/>
          <w:szCs w:val="21"/>
        </w:rPr>
        <w:t>乙方在合同期内，存在违法行为或者较为严重的违规等行为，不再适宜继续经营的，甲方有权提前解除本合同，不用承担任何违约责任。</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第三十二条</w:t>
      </w:r>
      <w:r>
        <w:rPr>
          <w:rFonts w:hint="eastAsia" w:ascii="宋体" w:hAnsi="宋体"/>
          <w:color w:val="000000" w:themeColor="text1"/>
          <w:kern w:val="0"/>
          <w:szCs w:val="21"/>
        </w:rPr>
        <w:t>在本合同期内，甲方因不可抗力因素或政策因素等原因，提出提前解除本合同的，不承担违约责任。甲方因为其他原因提出提前解除本合同的，应当提前三个月告知乙方，征得乙方书面同意后可以不承担违约责任，否则甲方须承担乙方</w:t>
      </w:r>
      <w:r>
        <w:rPr>
          <w:rFonts w:hint="eastAsia" w:ascii="宋体" w:hAnsi="宋体"/>
          <w:bCs/>
          <w:color w:val="000000" w:themeColor="text1"/>
          <w:kern w:val="0"/>
          <w:szCs w:val="21"/>
        </w:rPr>
        <w:t>食堂</w:t>
      </w:r>
      <w:r>
        <w:rPr>
          <w:rFonts w:hint="eastAsia" w:ascii="宋体" w:hAnsi="宋体"/>
          <w:color w:val="000000" w:themeColor="text1"/>
          <w:kern w:val="0"/>
          <w:szCs w:val="21"/>
        </w:rPr>
        <w:t>装修改造和餐厨设施设备购置费（以审计结果为准）按照相关规定折旧后未使用年限的费用，同时，无息退还乙方履约保证金。</w:t>
      </w:r>
    </w:p>
    <w:p>
      <w:pPr>
        <w:jc w:val="center"/>
        <w:rPr>
          <w:rFonts w:ascii="宋体"/>
          <w:b/>
          <w:color w:val="000000" w:themeColor="text1"/>
          <w:sz w:val="28"/>
          <w:szCs w:val="28"/>
        </w:rPr>
      </w:pPr>
      <w:r>
        <w:rPr>
          <w:rFonts w:hint="eastAsia" w:ascii="宋体" w:hAnsi="宋体"/>
          <w:b/>
          <w:color w:val="000000" w:themeColor="text1"/>
          <w:sz w:val="28"/>
          <w:szCs w:val="28"/>
        </w:rPr>
        <w:t>第六部分双方约定的其他事宜</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第三十三条</w:t>
      </w:r>
      <w:r>
        <w:rPr>
          <w:rFonts w:hint="eastAsia" w:ascii="宋体" w:hAnsi="宋体"/>
          <w:color w:val="000000" w:themeColor="text1"/>
          <w:kern w:val="0"/>
          <w:szCs w:val="21"/>
        </w:rPr>
        <w:t>当本合同在履行过程中发生争议时，由双方协商解决；也可由有关部门调解解决；协商或调解不成，任何一方均可向重庆市涪陵区人民法院起诉。</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第三十四条</w:t>
      </w:r>
      <w:r>
        <w:rPr>
          <w:rFonts w:hint="eastAsia" w:ascii="宋体" w:hAnsi="宋体"/>
          <w:color w:val="000000" w:themeColor="text1"/>
          <w:kern w:val="0"/>
          <w:szCs w:val="21"/>
        </w:rPr>
        <w:t>甲方招标文件和乙方投标文件及招标现场答疑等相关资料属于本合同组成部分，具有同等法律效力。</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第三十五条</w:t>
      </w:r>
      <w:r>
        <w:rPr>
          <w:rFonts w:hint="eastAsia" w:ascii="宋体" w:hAnsi="宋体"/>
          <w:color w:val="000000" w:themeColor="text1"/>
          <w:kern w:val="0"/>
          <w:szCs w:val="21"/>
        </w:rPr>
        <w:t>本合同一式六份，甲方执三份、乙方执三份，从甲乙双方签字（盖章）之日起生效。</w:t>
      </w:r>
    </w:p>
    <w:p>
      <w:pPr>
        <w:ind w:firstLine="422" w:firstLineChars="200"/>
        <w:rPr>
          <w:rFonts w:ascii="宋体"/>
          <w:color w:val="000000" w:themeColor="text1"/>
          <w:kern w:val="0"/>
          <w:szCs w:val="21"/>
        </w:rPr>
      </w:pPr>
      <w:r>
        <w:rPr>
          <w:rFonts w:hint="eastAsia" w:ascii="宋体" w:hAnsi="宋体"/>
          <w:b/>
          <w:bCs/>
          <w:color w:val="000000" w:themeColor="text1"/>
          <w:kern w:val="0"/>
          <w:szCs w:val="21"/>
        </w:rPr>
        <w:t>第三十六条</w:t>
      </w:r>
      <w:r>
        <w:rPr>
          <w:rFonts w:hint="eastAsia" w:ascii="宋体" w:hAnsi="宋体"/>
          <w:color w:val="000000" w:themeColor="text1"/>
          <w:kern w:val="0"/>
          <w:szCs w:val="21"/>
        </w:rPr>
        <w:t>　本合同未尽事宜，由双方协商确定后形成会议纪要或补充协议。会议纪要或补充协议作为本合同的组成部分。</w:t>
      </w:r>
    </w:p>
    <w:p>
      <w:pPr>
        <w:rPr>
          <w:rFonts w:ascii="宋体"/>
          <w:color w:val="000000" w:themeColor="text1"/>
          <w:szCs w:val="21"/>
        </w:rPr>
      </w:pPr>
      <w:r>
        <w:rPr>
          <w:rFonts w:hint="eastAsia" w:ascii="宋体" w:hAnsi="宋体"/>
          <w:color w:val="000000" w:themeColor="text1"/>
          <w:szCs w:val="21"/>
        </w:rPr>
        <w:t>附件：</w:t>
      </w:r>
    </w:p>
    <w:p>
      <w:pPr>
        <w:ind w:firstLine="420" w:firstLineChars="200"/>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.《长江师范学院南苑食府、接待中心联合经营管理日常考核实施细则》</w:t>
      </w:r>
    </w:p>
    <w:p>
      <w:pPr>
        <w:ind w:firstLine="420" w:firstLineChars="200"/>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《长江师范学院南苑食府、接待中心联合经营管理与服务考核办法》</w:t>
      </w:r>
    </w:p>
    <w:p>
      <w:pPr>
        <w:ind w:firstLine="420" w:firstLineChars="200"/>
        <w:rPr>
          <w:rFonts w:asci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《长江师范学院南苑食府、接待中心联合经营合同期满专家组考核指标》</w:t>
      </w:r>
    </w:p>
    <w:p>
      <w:pPr>
        <w:ind w:firstLine="420" w:firstLineChars="200"/>
        <w:rPr>
          <w:rFonts w:asci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《乙方使用甲方食堂原有设施设备清单》</w:t>
      </w:r>
    </w:p>
    <w:p>
      <w:pPr>
        <w:rPr>
          <w:rFonts w:ascii="宋体"/>
          <w:color w:val="000000" w:themeColor="text1"/>
          <w:szCs w:val="21"/>
        </w:rPr>
      </w:pPr>
    </w:p>
    <w:p>
      <w:pPr>
        <w:rPr>
          <w:rFonts w:ascii="宋体"/>
          <w:color w:val="000000" w:themeColor="text1"/>
          <w:szCs w:val="21"/>
        </w:rPr>
      </w:pPr>
    </w:p>
    <w:p>
      <w:pPr>
        <w:rPr>
          <w:rFonts w:ascii="宋体"/>
          <w:color w:val="000000" w:themeColor="text1"/>
          <w:szCs w:val="21"/>
        </w:rPr>
      </w:pPr>
    </w:p>
    <w:p>
      <w:pPr>
        <w:rPr>
          <w:rFonts w:ascii="宋体" w:hAnsi="宋体"/>
          <w:color w:val="000000" w:themeColor="text1"/>
          <w:szCs w:val="21"/>
        </w:rPr>
      </w:pPr>
    </w:p>
    <w:p>
      <w:pPr>
        <w:rPr>
          <w:rFonts w:ascii="宋体"/>
          <w:szCs w:val="21"/>
        </w:rPr>
      </w:pPr>
      <w:r>
        <w:rPr>
          <w:rFonts w:hint="eastAsia" w:ascii="宋体" w:hAnsi="宋体"/>
          <w:szCs w:val="21"/>
          <w:lang w:val="en-US" w:eastAsia="zh-CN"/>
        </w:rPr>
        <w:t xml:space="preserve">                                                      </w:t>
      </w:r>
      <w:r>
        <w:rPr>
          <w:rFonts w:ascii="宋体" w:hAnsi="宋体"/>
          <w:szCs w:val="21"/>
        </w:rPr>
        <w:t>201</w:t>
      </w:r>
      <w:r>
        <w:rPr>
          <w:rFonts w:hint="eastAsia" w:ascii="宋体" w:hAnsi="宋体"/>
          <w:szCs w:val="21"/>
        </w:rPr>
        <w:t>8年  月  日</w:t>
      </w:r>
    </w:p>
    <w:p>
      <w:pPr>
        <w:spacing w:line="500" w:lineRule="exact"/>
        <w:rPr>
          <w:rFonts w:ascii="宋体"/>
          <w:color w:val="000000" w:themeColor="text1"/>
          <w:sz w:val="24"/>
          <w:szCs w:val="24"/>
        </w:rPr>
      </w:pPr>
    </w:p>
    <w:p>
      <w:pPr>
        <w:spacing w:line="500" w:lineRule="exact"/>
        <w:rPr>
          <w:rFonts w:ascii="宋体"/>
          <w:color w:val="000000" w:themeColor="text1"/>
          <w:sz w:val="24"/>
          <w:szCs w:val="24"/>
        </w:rPr>
      </w:pPr>
    </w:p>
    <w:p>
      <w:pPr>
        <w:keepNext/>
        <w:keepLines/>
        <w:pageBreakBefore/>
        <w:spacing w:before="260" w:after="260" w:line="416" w:lineRule="auto"/>
        <w:outlineLvl w:val="1"/>
        <w:rPr>
          <w:rFonts w:ascii="Calibri Light" w:hAnsi="Calibri Light"/>
          <w:bCs/>
          <w:color w:val="000000" w:themeColor="text1"/>
          <w:kern w:val="0"/>
          <w:sz w:val="24"/>
          <w:szCs w:val="24"/>
        </w:rPr>
      </w:pPr>
      <w:bookmarkStart w:id="74" w:name="_Toc422381011"/>
      <w:bookmarkStart w:id="75" w:name="_Toc30583"/>
      <w:bookmarkStart w:id="76" w:name="_Toc21601"/>
      <w:r>
        <w:rPr>
          <w:rFonts w:hint="eastAsia" w:ascii="Calibri Light" w:hAnsi="Calibri Light"/>
          <w:b/>
          <w:bCs/>
          <w:color w:val="000000" w:themeColor="text1"/>
          <w:kern w:val="0"/>
          <w:sz w:val="24"/>
          <w:szCs w:val="24"/>
        </w:rPr>
        <w:t>附件一</w:t>
      </w:r>
      <w:bookmarkEnd w:id="74"/>
      <w:bookmarkEnd w:id="75"/>
      <w:r>
        <w:rPr>
          <w:rFonts w:hint="eastAsia" w:ascii="Calibri Light" w:hAnsi="Calibri Light"/>
          <w:b/>
          <w:bCs/>
          <w:color w:val="000000" w:themeColor="text1"/>
          <w:kern w:val="0"/>
          <w:sz w:val="24"/>
          <w:szCs w:val="24"/>
        </w:rPr>
        <w:t xml:space="preserve"> 长江师范学院南苑食府、接待中心联合经营管理日常考核实施细则</w:t>
      </w:r>
      <w:bookmarkEnd w:id="76"/>
    </w:p>
    <w:p>
      <w:pPr>
        <w:ind w:firstLine="420" w:firstLineChars="200"/>
        <w:rPr>
          <w:rFonts w:ascii="宋体"/>
          <w:color w:val="000000" w:themeColor="text1"/>
          <w:szCs w:val="21"/>
        </w:rPr>
      </w:pPr>
      <w:r>
        <w:rPr>
          <w:rFonts w:hint="eastAsia" w:ascii="宋体" w:hAnsi="宋体"/>
          <w:color w:val="000000" w:themeColor="text1"/>
          <w:kern w:val="0"/>
          <w:szCs w:val="21"/>
        </w:rPr>
        <w:t>为进一步加强我校引进社会企业联合经营南苑食府、接待中心的管理，根据《长江师范学院南苑食府、接待中心联合经营管理合同》、相关规章制度及管理考核办法，结合我校实际，特制定本管理考核实施细则，请遵照执行。</w:t>
      </w:r>
    </w:p>
    <w:tbl>
      <w:tblPr>
        <w:tblStyle w:val="43"/>
        <w:tblW w:w="9923" w:type="dxa"/>
        <w:tblInd w:w="-601" w:type="dxa"/>
        <w:tblLayout w:type="fixed"/>
        <w:tblCellMar>
          <w:top w:w="0" w:type="dxa"/>
          <w:left w:w="108" w:type="dxa"/>
          <w:bottom w:w="0" w:type="dxa"/>
          <w:right w:w="108" w:type="dxa"/>
        </w:tblCellMar>
      </w:tblPr>
      <w:tblGrid>
        <w:gridCol w:w="499"/>
        <w:gridCol w:w="636"/>
        <w:gridCol w:w="477"/>
        <w:gridCol w:w="3350"/>
        <w:gridCol w:w="709"/>
        <w:gridCol w:w="2693"/>
        <w:gridCol w:w="1559"/>
      </w:tblGrid>
      <w:tr>
        <w:tblPrEx>
          <w:tblLayout w:type="fixed"/>
          <w:tblCellMar>
            <w:top w:w="0" w:type="dxa"/>
            <w:left w:w="108" w:type="dxa"/>
            <w:bottom w:w="0" w:type="dxa"/>
            <w:right w:w="108" w:type="dxa"/>
          </w:tblCellMar>
        </w:tblPrEx>
        <w:trPr>
          <w:trHeight w:val="480" w:hRule="atLeast"/>
        </w:trPr>
        <w:tc>
          <w:tcPr>
            <w:tcW w:w="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序号</w:t>
            </w:r>
          </w:p>
        </w:tc>
        <w:tc>
          <w:tcPr>
            <w:tcW w:w="63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考核项目</w:t>
            </w:r>
          </w:p>
        </w:tc>
        <w:tc>
          <w:tcPr>
            <w:tcW w:w="3827"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规范要求</w:t>
            </w:r>
          </w:p>
        </w:tc>
        <w:tc>
          <w:tcPr>
            <w:tcW w:w="7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考核方式</w:t>
            </w:r>
          </w:p>
        </w:tc>
        <w:tc>
          <w:tcPr>
            <w:tcW w:w="269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扣款标准</w:t>
            </w:r>
          </w:p>
        </w:tc>
        <w:tc>
          <w:tcPr>
            <w:tcW w:w="15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扣分标准</w:t>
            </w:r>
          </w:p>
        </w:tc>
      </w:tr>
      <w:tr>
        <w:tblPrEx>
          <w:tblLayout w:type="fixed"/>
          <w:tblCellMar>
            <w:top w:w="0" w:type="dxa"/>
            <w:left w:w="108" w:type="dxa"/>
            <w:bottom w:w="0" w:type="dxa"/>
            <w:right w:w="108" w:type="dxa"/>
          </w:tblCellMar>
        </w:tblPrEx>
        <w:trPr>
          <w:trHeight w:val="480" w:hRule="atLeast"/>
        </w:trPr>
        <w:tc>
          <w:tcPr>
            <w:tcW w:w="49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一</w:t>
            </w:r>
          </w:p>
        </w:tc>
        <w:tc>
          <w:tcPr>
            <w:tcW w:w="636" w:type="dxa"/>
            <w:vMerge w:val="restart"/>
            <w:tcBorders>
              <w:top w:val="nil"/>
              <w:left w:val="single" w:color="auto" w:sz="4" w:space="0"/>
              <w:bottom w:val="single" w:color="000000" w:sz="4" w:space="0"/>
              <w:right w:val="single" w:color="auto" w:sz="4" w:space="0"/>
            </w:tcBorders>
            <w:textDirection w:val="tbRlV"/>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安全管理（</w:t>
            </w:r>
            <w:r>
              <w:rPr>
                <w:rFonts w:ascii="宋体" w:hAnsi="宋体" w:cs="宋体"/>
                <w:color w:val="000000" w:themeColor="text1"/>
                <w:kern w:val="0"/>
                <w:sz w:val="18"/>
                <w:szCs w:val="18"/>
              </w:rPr>
              <w:t>30</w:t>
            </w:r>
            <w:r>
              <w:rPr>
                <w:rFonts w:hint="eastAsia" w:ascii="宋体" w:hAnsi="宋体" w:cs="宋体"/>
                <w:color w:val="000000" w:themeColor="text1"/>
                <w:kern w:val="0"/>
                <w:sz w:val="18"/>
                <w:szCs w:val="18"/>
              </w:rPr>
              <w:t>分）</w:t>
            </w:r>
          </w:p>
        </w:tc>
        <w:tc>
          <w:tcPr>
            <w:tcW w:w="477"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食品卫生安全</w:t>
            </w: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、应建有各岗位职责及工作流程制度</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查看制度</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缺一项制度每次扣款1000元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、应建有卫生与安全责任制度和责任追究制度</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查看制度</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缺一项制度每次扣款10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r>
      <w:tr>
        <w:tblPrEx>
          <w:tblLayout w:type="fixed"/>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w:t>
            </w:r>
            <w:r>
              <w:rPr>
                <w:rFonts w:hint="eastAsia" w:ascii="宋体" w:hAnsi="宋体" w:cs="宋体"/>
                <w:color w:val="000000" w:themeColor="text1"/>
                <w:kern w:val="0"/>
                <w:sz w:val="18"/>
                <w:szCs w:val="18"/>
              </w:rPr>
              <w:t>、应持有效证件经营</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无证经营或证件无效除由经营者支付卫生主管部门的扣款外，学校将按</w:t>
            </w:r>
            <w:r>
              <w:rPr>
                <w:rFonts w:ascii="宋体" w:hAnsi="宋体" w:cs="宋体"/>
                <w:color w:val="000000" w:themeColor="text1"/>
                <w:kern w:val="0"/>
                <w:sz w:val="18"/>
                <w:szCs w:val="18"/>
              </w:rPr>
              <w:t>5000—50000</w:t>
            </w:r>
            <w:r>
              <w:rPr>
                <w:rFonts w:hint="eastAsia" w:ascii="宋体" w:hAnsi="宋体" w:cs="宋体"/>
                <w:color w:val="000000" w:themeColor="text1"/>
                <w:kern w:val="0"/>
                <w:sz w:val="18"/>
                <w:szCs w:val="18"/>
              </w:rPr>
              <w:t>元进行扣款直至解除经营管理合同</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4</w:t>
            </w:r>
            <w:r>
              <w:rPr>
                <w:rFonts w:hint="eastAsia" w:ascii="宋体" w:hAnsi="宋体" w:cs="宋体"/>
                <w:color w:val="000000" w:themeColor="text1"/>
                <w:kern w:val="0"/>
                <w:sz w:val="18"/>
                <w:szCs w:val="18"/>
              </w:rPr>
              <w:t>、从业人员应持有有效健康证</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缺证一人次扣款10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缺证一人次扣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、应严格执行食品卫生法律、法规，无食物中毒事故和肠道传染病发生</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出现食物中毒事故扣款不低于</w:t>
            </w:r>
            <w:r>
              <w:rPr>
                <w:rFonts w:ascii="宋体" w:hAnsi="宋体" w:cs="宋体"/>
                <w:color w:val="000000" w:themeColor="text1"/>
                <w:kern w:val="0"/>
                <w:sz w:val="18"/>
                <w:szCs w:val="18"/>
              </w:rPr>
              <w:t>5000</w:t>
            </w:r>
            <w:r>
              <w:rPr>
                <w:rFonts w:hint="eastAsia" w:ascii="宋体" w:hAnsi="宋体" w:cs="宋体"/>
                <w:color w:val="000000" w:themeColor="text1"/>
                <w:kern w:val="0"/>
                <w:sz w:val="18"/>
                <w:szCs w:val="18"/>
              </w:rPr>
              <w:t>元并追究相关责任人责任</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出现食物中毒事故该项为</w:t>
            </w:r>
            <w:r>
              <w:rPr>
                <w:rFonts w:ascii="宋体" w:cs="宋体"/>
                <w:color w:val="000000" w:themeColor="text1"/>
                <w:kern w:val="0"/>
                <w:sz w:val="18"/>
                <w:szCs w:val="18"/>
              </w:rPr>
              <w:t>0</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6</w:t>
            </w:r>
            <w:r>
              <w:rPr>
                <w:rFonts w:hint="eastAsia" w:ascii="宋体" w:hAnsi="宋体" w:cs="宋体"/>
                <w:color w:val="000000" w:themeColor="text1"/>
                <w:kern w:val="0"/>
                <w:sz w:val="18"/>
                <w:szCs w:val="18"/>
              </w:rPr>
              <w:t>、应坚持《食品及食品原辅材料进货检查验收制度》</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进货无台账每次扣款10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进货无台账或记录不全，每发现一次扣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消防安全</w:t>
            </w: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7</w:t>
            </w:r>
            <w:r>
              <w:rPr>
                <w:rFonts w:hint="eastAsia" w:ascii="宋体" w:hAnsi="宋体" w:cs="宋体"/>
                <w:color w:val="000000" w:themeColor="text1"/>
                <w:kern w:val="0"/>
                <w:sz w:val="18"/>
                <w:szCs w:val="18"/>
              </w:rPr>
              <w:t>、应保障食堂各项消防设施完好，进行定期检查并作好检查记录</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设施损坏、无检查记录扣款10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记录不全一次扣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8</w:t>
            </w:r>
            <w:r>
              <w:rPr>
                <w:rFonts w:hint="eastAsia" w:ascii="宋体" w:hAnsi="宋体" w:cs="宋体"/>
                <w:color w:val="000000" w:themeColor="text1"/>
                <w:kern w:val="0"/>
                <w:sz w:val="18"/>
                <w:szCs w:val="18"/>
              </w:rPr>
              <w:t>、应安全用电，严禁私拉电线</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私拉电线一次扣款</w:t>
            </w:r>
            <w:r>
              <w:rPr>
                <w:rFonts w:ascii="宋体" w:hAnsi="宋体" w:cs="宋体"/>
                <w:color w:val="000000" w:themeColor="text1"/>
                <w:kern w:val="0"/>
                <w:sz w:val="18"/>
                <w:szCs w:val="18"/>
              </w:rPr>
              <w:t>1000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私拉电线一次扣</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9</w:t>
            </w:r>
            <w:r>
              <w:rPr>
                <w:rFonts w:hint="eastAsia" w:ascii="宋体" w:hAnsi="宋体" w:cs="宋体"/>
                <w:color w:val="000000" w:themeColor="text1"/>
                <w:kern w:val="0"/>
                <w:sz w:val="18"/>
                <w:szCs w:val="18"/>
              </w:rPr>
              <w:t>、应培训员工掌握正确使用天然气的方法，注意防漏、防爆、防火，使用后关好气阀，确保安全</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出现用气安全事故一次扣款不低于</w:t>
            </w:r>
            <w:r>
              <w:rPr>
                <w:rFonts w:ascii="宋体" w:hAnsi="宋体" w:cs="宋体"/>
                <w:color w:val="000000" w:themeColor="text1"/>
                <w:kern w:val="0"/>
                <w:sz w:val="18"/>
                <w:szCs w:val="18"/>
              </w:rPr>
              <w:t>1000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出现用气安全事故一次扣</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10</w:t>
            </w:r>
            <w:r>
              <w:rPr>
                <w:rFonts w:hint="eastAsia" w:ascii="宋体" w:hAnsi="宋体" w:cs="宋体"/>
                <w:color w:val="000000" w:themeColor="text1"/>
                <w:kern w:val="0"/>
                <w:sz w:val="18"/>
                <w:szCs w:val="18"/>
              </w:rPr>
              <w:t>、应组织员工培训消防自防自救常识和安全逃生技能</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查看记录</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无培训记录的扣款10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无培训记录一次扣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其他安全</w:t>
            </w: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11</w:t>
            </w:r>
            <w:r>
              <w:rPr>
                <w:rFonts w:hint="eastAsia" w:ascii="宋体" w:hAnsi="宋体" w:cs="宋体"/>
                <w:color w:val="000000" w:themeColor="text1"/>
                <w:kern w:val="0"/>
                <w:sz w:val="18"/>
                <w:szCs w:val="18"/>
              </w:rPr>
              <w:t>、应安排专人管理和保护好学校固定资产的安全</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按照学校有关固定资产的相关规定处理</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每遗失一件扣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事故预防制度</w:t>
            </w: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12</w:t>
            </w:r>
            <w:r>
              <w:rPr>
                <w:rFonts w:hint="eastAsia" w:ascii="宋体" w:hAnsi="宋体" w:cs="宋体"/>
                <w:color w:val="000000" w:themeColor="text1"/>
                <w:kern w:val="0"/>
                <w:sz w:val="18"/>
                <w:szCs w:val="18"/>
              </w:rPr>
              <w:t>、应对从业人员进行卫生安全知识培训，建有预防食物中毒事故预案</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查看制度</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缺一项预案制度扣款10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次</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缺一项预案制度扣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13</w:t>
            </w:r>
            <w:r>
              <w:rPr>
                <w:rFonts w:hint="eastAsia" w:ascii="宋体" w:hAnsi="宋体" w:cs="宋体"/>
                <w:color w:val="000000" w:themeColor="text1"/>
                <w:kern w:val="0"/>
                <w:sz w:val="18"/>
                <w:szCs w:val="18"/>
              </w:rPr>
              <w:t>、应对从业人员进行消防安全知识培训，建有因电气、燃气、油锅着火应急处理机制及预案</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查看制度</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缺一项预案扣款10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次</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缺一项预案制度扣</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14</w:t>
            </w:r>
            <w:r>
              <w:rPr>
                <w:rFonts w:hint="eastAsia" w:ascii="宋体" w:hAnsi="宋体" w:cs="宋体"/>
                <w:color w:val="000000" w:themeColor="text1"/>
                <w:kern w:val="0"/>
                <w:sz w:val="18"/>
                <w:szCs w:val="18"/>
              </w:rPr>
              <w:t>、应对从业人员进行设备使用培训，建有机械设备、用电、用气</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汽</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安全操作规程</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违规操作一次扣款10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次</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违规操作一次扣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960" w:hRule="atLeast"/>
        </w:trPr>
        <w:tc>
          <w:tcPr>
            <w:tcW w:w="49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二</w:t>
            </w:r>
          </w:p>
        </w:tc>
        <w:tc>
          <w:tcPr>
            <w:tcW w:w="636" w:type="dxa"/>
            <w:vMerge w:val="restart"/>
            <w:tcBorders>
              <w:top w:val="nil"/>
              <w:left w:val="single" w:color="auto" w:sz="4" w:space="0"/>
              <w:bottom w:val="single" w:color="000000" w:sz="4" w:space="0"/>
              <w:right w:val="single" w:color="auto" w:sz="4" w:space="0"/>
            </w:tcBorders>
            <w:textDirection w:val="tbRlV"/>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食品管理（</w:t>
            </w:r>
            <w:r>
              <w:rPr>
                <w:rFonts w:ascii="宋体" w:hAnsi="宋体" w:cs="宋体"/>
                <w:color w:val="000000" w:themeColor="text1"/>
                <w:kern w:val="0"/>
                <w:sz w:val="18"/>
                <w:szCs w:val="18"/>
              </w:rPr>
              <w:t>40</w:t>
            </w:r>
            <w:r>
              <w:rPr>
                <w:rFonts w:hint="eastAsia" w:ascii="宋体" w:hAnsi="宋体" w:cs="宋体"/>
                <w:color w:val="000000" w:themeColor="text1"/>
                <w:kern w:val="0"/>
                <w:sz w:val="18"/>
                <w:szCs w:val="18"/>
              </w:rPr>
              <w:t>分）</w:t>
            </w:r>
          </w:p>
        </w:tc>
        <w:tc>
          <w:tcPr>
            <w:tcW w:w="477"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采购</w:t>
            </w: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15</w:t>
            </w:r>
            <w:r>
              <w:rPr>
                <w:rFonts w:hint="eastAsia" w:ascii="宋体" w:hAnsi="宋体" w:cs="宋体"/>
                <w:color w:val="000000" w:themeColor="text1"/>
                <w:kern w:val="0"/>
                <w:sz w:val="18"/>
                <w:szCs w:val="18"/>
              </w:rPr>
              <w:t>、主要原材料应建立定点供货单位及采购品种备案制度，供货单位必须持有营业执照、卫生许可证、动植物检疫合格证等相关证件并提交饮食中心备案</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查看证件</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无相关证件的每缺一项扣款10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次</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证件不齐，每缺一项扣</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16</w:t>
            </w:r>
            <w:r>
              <w:rPr>
                <w:rFonts w:hint="eastAsia" w:ascii="宋体" w:hAnsi="宋体" w:cs="宋体"/>
                <w:color w:val="000000" w:themeColor="text1"/>
                <w:kern w:val="0"/>
                <w:sz w:val="18"/>
                <w:szCs w:val="18"/>
              </w:rPr>
              <w:t>、应建立采购登记台账制度和索证、索票、准入制度，每批次物质应有生产厂家、产地、生产日期、保质期及</w:t>
            </w:r>
            <w:r>
              <w:rPr>
                <w:rFonts w:ascii="宋体" w:hAnsi="宋体" w:cs="宋体"/>
                <w:color w:val="000000" w:themeColor="text1"/>
                <w:kern w:val="0"/>
                <w:sz w:val="18"/>
                <w:szCs w:val="18"/>
              </w:rPr>
              <w:t>QS</w:t>
            </w:r>
            <w:r>
              <w:rPr>
                <w:rFonts w:hint="eastAsia" w:ascii="宋体" w:hAnsi="宋体" w:cs="宋体"/>
                <w:color w:val="000000" w:themeColor="text1"/>
                <w:kern w:val="0"/>
                <w:sz w:val="18"/>
                <w:szCs w:val="18"/>
              </w:rPr>
              <w:t>认证等标识</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每缺一项扣款10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次</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每缺一项扣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17</w:t>
            </w:r>
            <w:r>
              <w:rPr>
                <w:rFonts w:hint="eastAsia" w:ascii="宋体" w:hAnsi="宋体" w:cs="宋体"/>
                <w:color w:val="000000" w:themeColor="text1"/>
                <w:kern w:val="0"/>
                <w:sz w:val="18"/>
                <w:szCs w:val="18"/>
              </w:rPr>
              <w:t>、采购的原材料应符合国家有关标准和规定</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每违规采购一次给予扣款</w:t>
            </w:r>
            <w:r>
              <w:rPr>
                <w:rFonts w:ascii="宋体" w:hAnsi="宋体" w:cs="宋体"/>
                <w:color w:val="000000" w:themeColor="text1"/>
                <w:kern w:val="0"/>
                <w:sz w:val="18"/>
                <w:szCs w:val="18"/>
              </w:rPr>
              <w:t>10000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每违规采购一次扣</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96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存储</w:t>
            </w: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18</w:t>
            </w:r>
            <w:r>
              <w:rPr>
                <w:rFonts w:hint="eastAsia" w:ascii="宋体" w:hAnsi="宋体" w:cs="宋体"/>
                <w:color w:val="000000" w:themeColor="text1"/>
                <w:kern w:val="0"/>
                <w:sz w:val="18"/>
                <w:szCs w:val="18"/>
              </w:rPr>
              <w:t>、食品贮藏应做到原料、半成品、成品严格分开，做到生、熟分开，植物性食品、动物性食品和水产品分类摆放，冷藏柜</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库</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存放食品有标志</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19</w:t>
            </w:r>
            <w:r>
              <w:rPr>
                <w:rFonts w:hint="eastAsia" w:ascii="宋体" w:hAnsi="宋体" w:cs="宋体"/>
                <w:color w:val="000000" w:themeColor="text1"/>
                <w:kern w:val="0"/>
                <w:sz w:val="18"/>
                <w:szCs w:val="18"/>
              </w:rPr>
              <w:t>、仓库管理规范，物资分类存放，食品库无过期、变质及非食品物资</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每发现过期或霉变食品，一次扣</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加工</w:t>
            </w: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20</w:t>
            </w:r>
            <w:r>
              <w:rPr>
                <w:rFonts w:hint="eastAsia" w:ascii="宋体" w:hAnsi="宋体" w:cs="宋体"/>
                <w:color w:val="000000" w:themeColor="text1"/>
                <w:kern w:val="0"/>
                <w:sz w:val="18"/>
                <w:szCs w:val="18"/>
              </w:rPr>
              <w:t>、食品加工应做到流程合理，操作规范</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现场查看</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21</w:t>
            </w:r>
            <w:r>
              <w:rPr>
                <w:rFonts w:hint="eastAsia" w:ascii="宋体" w:hAnsi="宋体" w:cs="宋体"/>
                <w:color w:val="000000" w:themeColor="text1"/>
                <w:kern w:val="0"/>
                <w:sz w:val="18"/>
                <w:szCs w:val="18"/>
              </w:rPr>
              <w:t>、各类主副食应按照规范的配比标准加工（具体配比标准按照学校相关要求执行）</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现场抽检</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不符合要求的每一品种扣款10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7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22</w:t>
            </w:r>
            <w:r>
              <w:rPr>
                <w:rFonts w:hint="eastAsia" w:ascii="宋体" w:hAnsi="宋体" w:cs="宋体"/>
                <w:color w:val="000000" w:themeColor="text1"/>
                <w:kern w:val="0"/>
                <w:sz w:val="18"/>
                <w:szCs w:val="18"/>
              </w:rPr>
              <w:t>、凉菜应由专间、专人和专用设施设备加工，凉菜间应安装空调</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不符合要求的每项每次扣款10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915"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23</w:t>
            </w:r>
            <w:r>
              <w:rPr>
                <w:rFonts w:hint="eastAsia" w:ascii="宋体" w:hAnsi="宋体" w:cs="宋体"/>
                <w:color w:val="000000" w:themeColor="text1"/>
                <w:kern w:val="0"/>
                <w:sz w:val="18"/>
                <w:szCs w:val="18"/>
              </w:rPr>
              <w:t>、加工生、熟、荤、素食品应做到用具分开、整洁、严格消毒、摆放整齐</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24</w:t>
            </w:r>
            <w:r>
              <w:rPr>
                <w:rFonts w:hint="eastAsia" w:ascii="宋体" w:hAnsi="宋体" w:cs="宋体"/>
                <w:color w:val="000000" w:themeColor="text1"/>
                <w:kern w:val="0"/>
                <w:sz w:val="18"/>
                <w:szCs w:val="18"/>
              </w:rPr>
              <w:t>、餐饮具使用前应要规范消毒</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72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25</w:t>
            </w:r>
            <w:r>
              <w:rPr>
                <w:rFonts w:hint="eastAsia" w:ascii="宋体" w:hAnsi="宋体" w:cs="宋体"/>
                <w:color w:val="000000" w:themeColor="text1"/>
                <w:kern w:val="0"/>
                <w:sz w:val="18"/>
                <w:szCs w:val="18"/>
              </w:rPr>
              <w:t>、从业人员应养成良好卫生习惯，工作场所不吸烟，不随地吐痰，不戴首饰上岗，长发不外露；所有人员必须穿食堂标准工作服；工作服不得穿到食堂之外的区域</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不符合要求的每人次扣款10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26</w:t>
            </w:r>
            <w:r>
              <w:rPr>
                <w:rFonts w:hint="eastAsia" w:ascii="宋体" w:hAnsi="宋体" w:cs="宋体"/>
                <w:color w:val="000000" w:themeColor="text1"/>
                <w:kern w:val="0"/>
                <w:sz w:val="18"/>
                <w:szCs w:val="18"/>
              </w:rPr>
              <w:t>、按规定进行菜品留样</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27</w:t>
            </w:r>
            <w:r>
              <w:rPr>
                <w:rFonts w:hint="eastAsia" w:ascii="宋体" w:hAnsi="宋体" w:cs="宋体"/>
                <w:color w:val="000000" w:themeColor="text1"/>
                <w:kern w:val="0"/>
                <w:sz w:val="18"/>
                <w:szCs w:val="18"/>
              </w:rPr>
              <w:t>、食堂应有防鼠、防蚊蝇、防蟑螂及防尘措施并做到定期消毒</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出售</w:t>
            </w: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28</w:t>
            </w:r>
            <w:r>
              <w:rPr>
                <w:rFonts w:hint="eastAsia" w:ascii="宋体" w:hAnsi="宋体" w:cs="宋体"/>
                <w:color w:val="000000" w:themeColor="text1"/>
                <w:kern w:val="0"/>
                <w:sz w:val="18"/>
                <w:szCs w:val="18"/>
              </w:rPr>
              <w:t>、主要饭菜类应明码实价，菜牌齐全</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不符合要求的每项扣款10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29</w:t>
            </w:r>
            <w:r>
              <w:rPr>
                <w:rFonts w:hint="eastAsia" w:ascii="宋体" w:hAnsi="宋体" w:cs="宋体"/>
                <w:color w:val="000000" w:themeColor="text1"/>
                <w:kern w:val="0"/>
                <w:sz w:val="18"/>
                <w:szCs w:val="18"/>
              </w:rPr>
              <w:t>、在正常就餐时期，品种应按学校要求执行，荤素搭配合理</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不符合要求的扣款（学校要求数</w:t>
            </w:r>
            <w:r>
              <w:rPr>
                <w:rFonts w:ascii="宋体" w:cs="宋体"/>
                <w:color w:val="000000" w:themeColor="text1"/>
                <w:kern w:val="0"/>
                <w:sz w:val="18"/>
                <w:szCs w:val="18"/>
              </w:rPr>
              <w:t>-</w:t>
            </w:r>
            <w:r>
              <w:rPr>
                <w:rFonts w:hint="eastAsia" w:ascii="宋体" w:hAnsi="宋体" w:cs="宋体"/>
                <w:color w:val="000000" w:themeColor="text1"/>
                <w:kern w:val="0"/>
                <w:sz w:val="18"/>
                <w:szCs w:val="18"/>
              </w:rPr>
              <w:t>实际菜品数）</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30</w:t>
            </w:r>
            <w:r>
              <w:rPr>
                <w:rFonts w:hint="eastAsia" w:ascii="宋体" w:hAnsi="宋体" w:cs="宋体"/>
                <w:color w:val="000000" w:themeColor="text1"/>
                <w:kern w:val="0"/>
                <w:sz w:val="18"/>
                <w:szCs w:val="18"/>
              </w:rPr>
              <w:t>、不应出售夹生、未熟或变质食品，饭菜中应无泥沙、钢丝等杂物</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投诉核实</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查实后每次扣款10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31</w:t>
            </w:r>
            <w:r>
              <w:rPr>
                <w:rFonts w:hint="eastAsia" w:ascii="宋体" w:hAnsi="宋体" w:cs="宋体"/>
                <w:color w:val="000000" w:themeColor="text1"/>
                <w:kern w:val="0"/>
                <w:sz w:val="18"/>
                <w:szCs w:val="18"/>
              </w:rPr>
              <w:t>、餐厅内外、厨房、操作间、库房等场所应保持整洁</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不符合要求的每项扣款10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47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350"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32</w:t>
            </w:r>
            <w:r>
              <w:rPr>
                <w:rFonts w:hint="eastAsia" w:ascii="宋体" w:hAnsi="宋体" w:cs="宋体"/>
                <w:color w:val="000000" w:themeColor="text1"/>
                <w:kern w:val="0"/>
                <w:sz w:val="18"/>
                <w:szCs w:val="18"/>
              </w:rPr>
              <w:t>、食堂内外应设置带盖的垃圾桶，并及时按照相关规定进行规范处置垃圾，不得将餐厨垃圾私自处理</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不符合要求的每项扣款10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645"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三</w:t>
            </w:r>
          </w:p>
        </w:tc>
        <w:tc>
          <w:tcPr>
            <w:tcW w:w="636" w:type="dxa"/>
            <w:vMerge w:val="restart"/>
            <w:tcBorders>
              <w:top w:val="nil"/>
              <w:left w:val="single" w:color="auto" w:sz="4" w:space="0"/>
              <w:bottom w:val="nil"/>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服务质量</w:t>
            </w:r>
          </w:p>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15</w:t>
            </w:r>
            <w:r>
              <w:rPr>
                <w:rFonts w:hint="eastAsia" w:ascii="宋体" w:hAnsi="宋体" w:cs="宋体"/>
                <w:color w:val="000000" w:themeColor="text1"/>
                <w:kern w:val="0"/>
                <w:sz w:val="18"/>
                <w:szCs w:val="18"/>
              </w:rPr>
              <w:t>分）</w:t>
            </w:r>
          </w:p>
        </w:tc>
        <w:tc>
          <w:tcPr>
            <w:tcW w:w="3827" w:type="dxa"/>
            <w:gridSpan w:val="2"/>
            <w:tcBorders>
              <w:top w:val="single" w:color="auto" w:sz="4" w:space="0"/>
              <w:left w:val="nil"/>
              <w:bottom w:val="nil"/>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33</w:t>
            </w:r>
            <w:r>
              <w:rPr>
                <w:rFonts w:hint="eastAsia" w:ascii="宋体" w:hAnsi="宋体" w:cs="宋体"/>
                <w:color w:val="000000" w:themeColor="text1"/>
                <w:kern w:val="0"/>
                <w:sz w:val="18"/>
                <w:szCs w:val="18"/>
              </w:rPr>
              <w:t>、应统一着装，仪表端庄，挂牌、戴口罩上岗</w:t>
            </w:r>
          </w:p>
        </w:tc>
        <w:tc>
          <w:tcPr>
            <w:tcW w:w="709" w:type="dxa"/>
            <w:tcBorders>
              <w:top w:val="nil"/>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nil"/>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不符合要求每人次扣款10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55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nil"/>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3827" w:type="dxa"/>
            <w:gridSpan w:val="2"/>
            <w:tcBorders>
              <w:top w:val="single" w:color="auto" w:sz="4" w:space="0"/>
              <w:left w:val="nil"/>
              <w:bottom w:val="single" w:color="auto" w:sz="4" w:space="0"/>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34</w:t>
            </w:r>
            <w:r>
              <w:rPr>
                <w:rFonts w:hint="eastAsia" w:ascii="宋体" w:hAnsi="宋体" w:cs="宋体"/>
                <w:color w:val="000000" w:themeColor="text1"/>
                <w:kern w:val="0"/>
                <w:sz w:val="18"/>
                <w:szCs w:val="18"/>
              </w:rPr>
              <w:t>、应做到服务及操作程序规范，态度端正，主动热情，文明用语，不和学生发生争吵及正面冲突</w:t>
            </w:r>
          </w:p>
        </w:tc>
        <w:tc>
          <w:tcPr>
            <w:tcW w:w="709" w:type="dxa"/>
            <w:tcBorders>
              <w:top w:val="single" w:color="auto" w:sz="4" w:space="0"/>
              <w:left w:val="nil"/>
              <w:bottom w:val="nil"/>
              <w:right w:val="single" w:color="auto" w:sz="4" w:space="0"/>
            </w:tcBorders>
            <w:vAlign w:val="bottom"/>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核实投诉</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查实后每次扣款10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51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nil"/>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3827" w:type="dxa"/>
            <w:gridSpan w:val="2"/>
            <w:tcBorders>
              <w:top w:val="single" w:color="auto" w:sz="4" w:space="0"/>
              <w:left w:val="nil"/>
              <w:bottom w:val="nil"/>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35</w:t>
            </w:r>
            <w:r>
              <w:rPr>
                <w:rFonts w:hint="eastAsia" w:ascii="宋体" w:hAnsi="宋体" w:cs="宋体"/>
                <w:color w:val="000000" w:themeColor="text1"/>
                <w:kern w:val="0"/>
                <w:sz w:val="18"/>
                <w:szCs w:val="18"/>
              </w:rPr>
              <w:t>、应及时处理就餐者投诉意见、建议，过程有记录</w:t>
            </w:r>
          </w:p>
        </w:tc>
        <w:tc>
          <w:tcPr>
            <w:tcW w:w="709" w:type="dxa"/>
            <w:tcBorders>
              <w:top w:val="single" w:color="auto" w:sz="4" w:space="0"/>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未处理投诉每次每件扣款10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64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nil"/>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3827" w:type="dxa"/>
            <w:gridSpan w:val="2"/>
            <w:tcBorders>
              <w:top w:val="single" w:color="auto" w:sz="4" w:space="0"/>
              <w:left w:val="nil"/>
              <w:bottom w:val="single" w:color="auto" w:sz="4" w:space="0"/>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36</w:t>
            </w:r>
            <w:r>
              <w:rPr>
                <w:rFonts w:hint="eastAsia" w:ascii="宋体" w:hAnsi="宋体" w:cs="宋体"/>
                <w:color w:val="000000" w:themeColor="text1"/>
                <w:kern w:val="0"/>
                <w:sz w:val="18"/>
                <w:szCs w:val="18"/>
              </w:rPr>
              <w:t>、应在中、晚餐供应期间向就餐者提供免费汤，并派专人负责管理</w:t>
            </w:r>
          </w:p>
        </w:tc>
        <w:tc>
          <w:tcPr>
            <w:tcW w:w="709" w:type="dxa"/>
            <w:tcBorders>
              <w:top w:val="single" w:color="auto" w:sz="4" w:space="0"/>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不符合要求的每项扣款10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60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nil"/>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3827" w:type="dxa"/>
            <w:gridSpan w:val="2"/>
            <w:tcBorders>
              <w:top w:val="single" w:color="auto" w:sz="4" w:space="0"/>
              <w:left w:val="nil"/>
              <w:bottom w:val="single" w:color="auto" w:sz="4" w:space="0"/>
              <w:right w:val="single" w:color="000000" w:sz="4" w:space="0"/>
            </w:tcBorders>
            <w:vAlign w:val="center"/>
          </w:tcPr>
          <w:p>
            <w:pPr>
              <w:widowControl/>
              <w:spacing w:line="300" w:lineRule="exact"/>
              <w:rPr>
                <w:rFonts w:ascii="宋体" w:hAnsi="宋体" w:cs="宋体"/>
                <w:color w:val="000000" w:themeColor="text1"/>
                <w:kern w:val="0"/>
                <w:sz w:val="18"/>
                <w:szCs w:val="18"/>
              </w:rPr>
            </w:pPr>
            <w:r>
              <w:rPr>
                <w:rFonts w:ascii="宋体" w:hAnsi="宋体" w:cs="宋体"/>
                <w:color w:val="000000" w:themeColor="text1"/>
                <w:kern w:val="0"/>
                <w:sz w:val="18"/>
                <w:szCs w:val="18"/>
              </w:rPr>
              <w:t>37</w:t>
            </w:r>
            <w:r>
              <w:rPr>
                <w:rFonts w:hint="eastAsia" w:ascii="宋体" w:hAnsi="宋体" w:cs="宋体"/>
                <w:color w:val="000000" w:themeColor="text1"/>
                <w:kern w:val="0"/>
                <w:sz w:val="18"/>
                <w:szCs w:val="18"/>
              </w:rPr>
              <w:t>、应在食堂明显位置设有就餐投诉台</w:t>
            </w:r>
            <w:r>
              <w:rPr>
                <w:rFonts w:ascii="宋体" w:hAnsi="宋体" w:cs="宋体"/>
                <w:color w:val="000000" w:themeColor="text1"/>
                <w:kern w:val="0"/>
                <w:sz w:val="18"/>
                <w:szCs w:val="18"/>
              </w:rPr>
              <w:t>(</w:t>
            </w:r>
            <w:r>
              <w:rPr>
                <w:rFonts w:hint="eastAsia" w:ascii="宋体" w:hAnsi="宋体" w:cs="宋体"/>
                <w:color w:val="000000" w:themeColor="text1"/>
                <w:kern w:val="0"/>
                <w:sz w:val="18"/>
                <w:szCs w:val="18"/>
              </w:rPr>
              <w:t>或设立意见箱、意见薄</w:t>
            </w:r>
            <w:r>
              <w:rPr>
                <w:rFonts w:ascii="宋体" w:hAnsi="宋体" w:cs="宋体"/>
                <w:color w:val="000000" w:themeColor="text1"/>
                <w:kern w:val="0"/>
                <w:sz w:val="18"/>
                <w:szCs w:val="18"/>
              </w:rPr>
              <w:t>)</w:t>
            </w:r>
          </w:p>
        </w:tc>
        <w:tc>
          <w:tcPr>
            <w:tcW w:w="709" w:type="dxa"/>
            <w:tcBorders>
              <w:top w:val="single" w:color="auto" w:sz="4" w:space="0"/>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不符合要求的每项扣款10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615"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nil"/>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3827" w:type="dxa"/>
            <w:gridSpan w:val="2"/>
            <w:tcBorders>
              <w:top w:val="single" w:color="auto" w:sz="4" w:space="0"/>
              <w:left w:val="nil"/>
              <w:bottom w:val="nil"/>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38</w:t>
            </w:r>
            <w:r>
              <w:rPr>
                <w:rFonts w:hint="eastAsia" w:ascii="宋体" w:hAnsi="宋体" w:cs="宋体"/>
                <w:color w:val="000000" w:themeColor="text1"/>
                <w:kern w:val="0"/>
                <w:sz w:val="18"/>
                <w:szCs w:val="18"/>
              </w:rPr>
              <w:t>、应实行学生刷卡消费，售卖窗口严禁使用现金</w:t>
            </w:r>
          </w:p>
        </w:tc>
        <w:tc>
          <w:tcPr>
            <w:tcW w:w="709" w:type="dxa"/>
            <w:tcBorders>
              <w:top w:val="single" w:color="auto" w:sz="4" w:space="0"/>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发现使用现金每人次扣款10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780"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四</w:t>
            </w:r>
          </w:p>
        </w:tc>
        <w:tc>
          <w:tcPr>
            <w:tcW w:w="6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经营秩序（</w:t>
            </w:r>
            <w:r>
              <w:rPr>
                <w:rFonts w:ascii="宋体" w:hAnsi="宋体" w:cs="宋体"/>
                <w:color w:val="000000" w:themeColor="text1"/>
                <w:kern w:val="0"/>
                <w:sz w:val="18"/>
                <w:szCs w:val="18"/>
              </w:rPr>
              <w:t>10</w:t>
            </w:r>
            <w:r>
              <w:rPr>
                <w:rFonts w:hint="eastAsia" w:ascii="宋体" w:hAnsi="宋体" w:cs="宋体"/>
                <w:color w:val="000000" w:themeColor="text1"/>
                <w:kern w:val="0"/>
                <w:sz w:val="18"/>
                <w:szCs w:val="18"/>
              </w:rPr>
              <w:t>分）</w:t>
            </w:r>
          </w:p>
        </w:tc>
        <w:tc>
          <w:tcPr>
            <w:tcW w:w="3827" w:type="dxa"/>
            <w:gridSpan w:val="2"/>
            <w:tcBorders>
              <w:top w:val="single" w:color="auto" w:sz="4" w:space="0"/>
              <w:left w:val="nil"/>
              <w:bottom w:val="nil"/>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39</w:t>
            </w:r>
            <w:r>
              <w:rPr>
                <w:rFonts w:hint="eastAsia" w:ascii="宋体" w:hAnsi="宋体" w:cs="宋体"/>
                <w:color w:val="000000" w:themeColor="text1"/>
                <w:kern w:val="0"/>
                <w:sz w:val="18"/>
                <w:szCs w:val="18"/>
              </w:rPr>
              <w:t>、未经学校书面同意，食堂经营企业不得将食堂全部或者部分转租、转借或其他任意形式转交给任何单位或个人进行经营</w:t>
            </w:r>
          </w:p>
        </w:tc>
        <w:tc>
          <w:tcPr>
            <w:tcW w:w="709" w:type="dxa"/>
            <w:tcBorders>
              <w:top w:val="single" w:color="auto" w:sz="4" w:space="0"/>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依据合同</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每次扣款</w:t>
            </w:r>
            <w:r>
              <w:rPr>
                <w:rFonts w:ascii="宋体" w:hAnsi="宋体" w:cs="宋体"/>
                <w:color w:val="000000" w:themeColor="text1"/>
                <w:kern w:val="0"/>
                <w:sz w:val="18"/>
                <w:szCs w:val="18"/>
              </w:rPr>
              <w:t>50000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按照合同执行</w:t>
            </w:r>
          </w:p>
        </w:tc>
      </w:tr>
      <w:tr>
        <w:tblPrEx>
          <w:tblLayout w:type="fixed"/>
          <w:tblCellMar>
            <w:top w:w="0" w:type="dxa"/>
            <w:left w:w="108" w:type="dxa"/>
            <w:bottom w:w="0" w:type="dxa"/>
            <w:right w:w="108" w:type="dxa"/>
          </w:tblCellMar>
        </w:tblPrEx>
        <w:trPr>
          <w:trHeight w:val="60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3827" w:type="dxa"/>
            <w:gridSpan w:val="2"/>
            <w:tcBorders>
              <w:top w:val="single" w:color="auto" w:sz="4" w:space="0"/>
              <w:left w:val="nil"/>
              <w:bottom w:val="single" w:color="auto" w:sz="4" w:space="0"/>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40</w:t>
            </w:r>
            <w:r>
              <w:rPr>
                <w:rFonts w:hint="eastAsia" w:ascii="宋体" w:hAnsi="宋体" w:cs="宋体"/>
                <w:color w:val="000000" w:themeColor="text1"/>
                <w:kern w:val="0"/>
                <w:sz w:val="18"/>
                <w:szCs w:val="18"/>
              </w:rPr>
              <w:t>、应严格遵循学校统一制订的菜品价格，不得擅自修改</w:t>
            </w:r>
          </w:p>
        </w:tc>
        <w:tc>
          <w:tcPr>
            <w:tcW w:w="709" w:type="dxa"/>
            <w:tcBorders>
              <w:top w:val="single" w:color="auto" w:sz="4" w:space="0"/>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现场检查</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若擅自改动价格，每一菜品扣款</w:t>
            </w:r>
            <w:r>
              <w:rPr>
                <w:rFonts w:ascii="宋体" w:hAnsi="宋体" w:cs="宋体"/>
                <w:color w:val="000000" w:themeColor="text1"/>
                <w:kern w:val="0"/>
                <w:sz w:val="18"/>
                <w:szCs w:val="18"/>
              </w:rPr>
              <w:t>5000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63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3827" w:type="dxa"/>
            <w:gridSpan w:val="2"/>
            <w:tcBorders>
              <w:top w:val="single" w:color="auto" w:sz="4" w:space="0"/>
              <w:left w:val="nil"/>
              <w:bottom w:val="nil"/>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41</w:t>
            </w:r>
            <w:r>
              <w:rPr>
                <w:rFonts w:hint="eastAsia" w:ascii="宋体" w:hAnsi="宋体" w:cs="宋体"/>
                <w:color w:val="000000" w:themeColor="text1"/>
                <w:kern w:val="0"/>
                <w:sz w:val="18"/>
                <w:szCs w:val="18"/>
              </w:rPr>
              <w:t>、应遵守合同约定，不得超范围进行经营</w:t>
            </w:r>
          </w:p>
        </w:tc>
        <w:tc>
          <w:tcPr>
            <w:tcW w:w="709" w:type="dxa"/>
            <w:tcBorders>
              <w:top w:val="single" w:color="auto" w:sz="4" w:space="0"/>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依据合同</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超范围经营每次扣款</w:t>
            </w:r>
            <w:r>
              <w:rPr>
                <w:rFonts w:ascii="宋体" w:hAnsi="宋体" w:cs="宋体"/>
                <w:color w:val="000000" w:themeColor="text1"/>
                <w:kern w:val="0"/>
                <w:sz w:val="18"/>
                <w:szCs w:val="18"/>
              </w:rPr>
              <w:t>10000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2</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144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tc>
        <w:tc>
          <w:tcPr>
            <w:tcW w:w="3827" w:type="dxa"/>
            <w:gridSpan w:val="2"/>
            <w:tcBorders>
              <w:top w:val="single" w:color="auto" w:sz="4" w:space="0"/>
              <w:left w:val="nil"/>
              <w:bottom w:val="single" w:color="auto" w:sz="4" w:space="0"/>
              <w:right w:val="single" w:color="000000"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42</w:t>
            </w:r>
            <w:r>
              <w:rPr>
                <w:rFonts w:hint="eastAsia" w:ascii="宋体" w:hAnsi="宋体" w:cs="宋体"/>
                <w:color w:val="000000" w:themeColor="text1"/>
                <w:kern w:val="0"/>
                <w:sz w:val="18"/>
                <w:szCs w:val="18"/>
              </w:rPr>
              <w:t>、应按时向学生提供符合卫生要求的热菜热饭（早上</w:t>
            </w:r>
            <w:r>
              <w:rPr>
                <w:rFonts w:ascii="宋体" w:hAnsi="宋体" w:cs="宋体"/>
                <w:color w:val="000000" w:themeColor="text1"/>
                <w:kern w:val="0"/>
                <w:sz w:val="18"/>
                <w:szCs w:val="18"/>
              </w:rPr>
              <w:t>6</w:t>
            </w:r>
            <w:r>
              <w:rPr>
                <w:rFonts w:hint="eastAsia" w:ascii="宋体" w:hAnsi="宋体" w:cs="宋体"/>
                <w:color w:val="000000" w:themeColor="text1"/>
                <w:kern w:val="0"/>
                <w:sz w:val="18"/>
                <w:szCs w:val="18"/>
              </w:rPr>
              <w:t>：</w:t>
            </w:r>
            <w:r>
              <w:rPr>
                <w:rFonts w:ascii="宋体" w:hAnsi="宋体" w:cs="宋体"/>
                <w:color w:val="000000" w:themeColor="text1"/>
                <w:kern w:val="0"/>
                <w:sz w:val="18"/>
                <w:szCs w:val="18"/>
              </w:rPr>
              <w:t>30—9</w:t>
            </w:r>
            <w:r>
              <w:rPr>
                <w:rFonts w:hint="eastAsia" w:ascii="宋体" w:hAnsi="宋体" w:cs="宋体"/>
                <w:color w:val="000000" w:themeColor="text1"/>
                <w:kern w:val="0"/>
                <w:sz w:val="18"/>
                <w:szCs w:val="18"/>
              </w:rPr>
              <w:t>：</w:t>
            </w:r>
            <w:r>
              <w:rPr>
                <w:rFonts w:ascii="宋体" w:cs="宋体"/>
                <w:color w:val="000000" w:themeColor="text1"/>
                <w:kern w:val="0"/>
                <w:sz w:val="18"/>
                <w:szCs w:val="18"/>
              </w:rPr>
              <w:t>00</w:t>
            </w:r>
            <w:r>
              <w:rPr>
                <w:rFonts w:hint="eastAsia" w:ascii="宋体" w:hAnsi="宋体" w:cs="宋体"/>
                <w:color w:val="000000" w:themeColor="text1"/>
                <w:kern w:val="0"/>
                <w:sz w:val="18"/>
                <w:szCs w:val="18"/>
              </w:rPr>
              <w:t>；中午</w:t>
            </w:r>
            <w:r>
              <w:rPr>
                <w:rFonts w:ascii="宋体" w:hAnsi="宋体" w:cs="宋体"/>
                <w:color w:val="000000" w:themeColor="text1"/>
                <w:kern w:val="0"/>
                <w:sz w:val="18"/>
                <w:szCs w:val="18"/>
              </w:rPr>
              <w:t>11</w:t>
            </w:r>
            <w:r>
              <w:rPr>
                <w:rFonts w:hint="eastAsia" w:ascii="宋体" w:hAnsi="宋体" w:cs="宋体"/>
                <w:color w:val="000000" w:themeColor="text1"/>
                <w:kern w:val="0"/>
                <w:sz w:val="18"/>
                <w:szCs w:val="18"/>
              </w:rPr>
              <w:t>：</w:t>
            </w:r>
            <w:r>
              <w:rPr>
                <w:rFonts w:ascii="宋体" w:cs="宋体"/>
                <w:color w:val="000000" w:themeColor="text1"/>
                <w:kern w:val="0"/>
                <w:sz w:val="18"/>
                <w:szCs w:val="18"/>
              </w:rPr>
              <w:t>00</w:t>
            </w:r>
            <w:r>
              <w:rPr>
                <w:rFonts w:ascii="宋体" w:hAnsi="宋体" w:cs="宋体"/>
                <w:color w:val="000000" w:themeColor="text1"/>
                <w:kern w:val="0"/>
                <w:sz w:val="18"/>
                <w:szCs w:val="18"/>
              </w:rPr>
              <w:t>—14</w:t>
            </w:r>
            <w:r>
              <w:rPr>
                <w:rFonts w:hint="eastAsia" w:ascii="宋体" w:hAnsi="宋体" w:cs="宋体"/>
                <w:color w:val="000000" w:themeColor="text1"/>
                <w:kern w:val="0"/>
                <w:sz w:val="18"/>
                <w:szCs w:val="18"/>
              </w:rPr>
              <w:t>：</w:t>
            </w:r>
            <w:r>
              <w:rPr>
                <w:rFonts w:ascii="宋体" w:cs="宋体"/>
                <w:color w:val="000000" w:themeColor="text1"/>
                <w:kern w:val="0"/>
                <w:sz w:val="18"/>
                <w:szCs w:val="18"/>
              </w:rPr>
              <w:t>00</w:t>
            </w:r>
            <w:r>
              <w:rPr>
                <w:rFonts w:hint="eastAsia" w:ascii="宋体" w:hAnsi="宋体" w:cs="宋体"/>
                <w:color w:val="000000" w:themeColor="text1"/>
                <w:kern w:val="0"/>
                <w:sz w:val="18"/>
                <w:szCs w:val="18"/>
              </w:rPr>
              <w:t>；晚上</w:t>
            </w:r>
            <w:r>
              <w:rPr>
                <w:rFonts w:ascii="宋体" w:hAnsi="宋体" w:cs="宋体"/>
                <w:color w:val="000000" w:themeColor="text1"/>
                <w:kern w:val="0"/>
                <w:sz w:val="18"/>
                <w:szCs w:val="18"/>
              </w:rPr>
              <w:t>16</w:t>
            </w:r>
            <w:r>
              <w:rPr>
                <w:rFonts w:hint="eastAsia" w:ascii="宋体" w:hAnsi="宋体" w:cs="宋体"/>
                <w:color w:val="000000" w:themeColor="text1"/>
                <w:kern w:val="0"/>
                <w:sz w:val="18"/>
                <w:szCs w:val="18"/>
              </w:rPr>
              <w:t>：</w:t>
            </w:r>
            <w:r>
              <w:rPr>
                <w:rFonts w:ascii="宋体" w:cs="宋体"/>
                <w:color w:val="000000" w:themeColor="text1"/>
                <w:kern w:val="0"/>
                <w:sz w:val="18"/>
                <w:szCs w:val="18"/>
              </w:rPr>
              <w:t>00</w:t>
            </w:r>
            <w:r>
              <w:rPr>
                <w:rFonts w:ascii="宋体" w:hAnsi="宋体" w:cs="宋体"/>
                <w:color w:val="000000" w:themeColor="text1"/>
                <w:kern w:val="0"/>
                <w:sz w:val="18"/>
                <w:szCs w:val="18"/>
              </w:rPr>
              <w:t>—23</w:t>
            </w:r>
            <w:r>
              <w:rPr>
                <w:rFonts w:hint="eastAsia" w:ascii="宋体" w:hAnsi="宋体" w:cs="宋体"/>
                <w:color w:val="000000" w:themeColor="text1"/>
                <w:kern w:val="0"/>
                <w:sz w:val="18"/>
                <w:szCs w:val="18"/>
              </w:rPr>
              <w:t>：</w:t>
            </w:r>
            <w:r>
              <w:rPr>
                <w:rFonts w:ascii="宋体" w:cs="宋体"/>
                <w:color w:val="000000" w:themeColor="text1"/>
                <w:kern w:val="0"/>
                <w:sz w:val="18"/>
                <w:szCs w:val="18"/>
              </w:rPr>
              <w:t>00</w:t>
            </w:r>
            <w:r>
              <w:rPr>
                <w:rFonts w:hint="eastAsia" w:ascii="宋体" w:hAnsi="宋体" w:cs="宋体"/>
                <w:color w:val="000000" w:themeColor="text1"/>
                <w:kern w:val="0"/>
                <w:sz w:val="18"/>
                <w:szCs w:val="18"/>
              </w:rPr>
              <w:t>）</w:t>
            </w:r>
          </w:p>
        </w:tc>
        <w:tc>
          <w:tcPr>
            <w:tcW w:w="709" w:type="dxa"/>
            <w:tcBorders>
              <w:top w:val="single" w:color="auto" w:sz="4" w:space="0"/>
              <w:left w:val="nil"/>
              <w:bottom w:val="nil"/>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依据合同</w:t>
            </w:r>
          </w:p>
        </w:tc>
        <w:tc>
          <w:tcPr>
            <w:tcW w:w="2693" w:type="dxa"/>
            <w:tcBorders>
              <w:top w:val="single" w:color="auto" w:sz="4" w:space="0"/>
              <w:left w:val="nil"/>
              <w:bottom w:val="nil"/>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未经同意擅自关闭食堂的全部或部分经营窗口，每关闭一天扣款</w:t>
            </w:r>
            <w:r>
              <w:rPr>
                <w:rFonts w:ascii="宋体" w:hAnsi="宋体" w:cs="宋体"/>
                <w:color w:val="000000" w:themeColor="text1"/>
                <w:kern w:val="0"/>
                <w:sz w:val="18"/>
                <w:szCs w:val="18"/>
              </w:rPr>
              <w:t>10000</w:t>
            </w:r>
            <w:r>
              <w:rPr>
                <w:rFonts w:hint="eastAsia" w:ascii="宋体" w:hAnsi="宋体" w:cs="宋体"/>
                <w:color w:val="000000" w:themeColor="text1"/>
                <w:kern w:val="0"/>
                <w:sz w:val="18"/>
                <w:szCs w:val="18"/>
              </w:rPr>
              <w:t>元，学校保留解除合同、取消食堂经营者经营管理资格的权利。</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555" w:hRule="atLeast"/>
        </w:trPr>
        <w:tc>
          <w:tcPr>
            <w:tcW w:w="49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p>
            <w:pPr>
              <w:widowControl/>
              <w:spacing w:line="300" w:lineRule="exact"/>
              <w:jc w:val="center"/>
              <w:rPr>
                <w:rFonts w:ascii="宋体" w:cs="宋体"/>
                <w:color w:val="000000" w:themeColor="text1"/>
                <w:kern w:val="0"/>
                <w:sz w:val="18"/>
                <w:szCs w:val="18"/>
              </w:rPr>
            </w:pPr>
          </w:p>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五</w:t>
            </w:r>
          </w:p>
        </w:tc>
        <w:tc>
          <w:tcPr>
            <w:tcW w:w="63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p>
          <w:p>
            <w:pPr>
              <w:widowControl/>
              <w:spacing w:line="300" w:lineRule="exact"/>
              <w:jc w:val="center"/>
              <w:rPr>
                <w:rFonts w:ascii="宋体" w:cs="宋体"/>
                <w:color w:val="000000" w:themeColor="text1"/>
                <w:kern w:val="0"/>
                <w:sz w:val="18"/>
                <w:szCs w:val="18"/>
              </w:rPr>
            </w:pPr>
          </w:p>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其他（</w:t>
            </w:r>
            <w:r>
              <w:rPr>
                <w:rFonts w:ascii="宋体" w:hAnsi="宋体" w:cs="宋体"/>
                <w:color w:val="000000" w:themeColor="text1"/>
                <w:kern w:val="0"/>
                <w:sz w:val="18"/>
                <w:szCs w:val="18"/>
              </w:rPr>
              <w:t>5</w:t>
            </w:r>
            <w:r>
              <w:rPr>
                <w:rFonts w:hint="eastAsia" w:ascii="宋体" w:hAnsi="宋体" w:cs="宋体"/>
                <w:color w:val="000000" w:themeColor="text1"/>
                <w:kern w:val="0"/>
                <w:sz w:val="18"/>
                <w:szCs w:val="18"/>
              </w:rPr>
              <w:t>分）</w:t>
            </w:r>
          </w:p>
        </w:tc>
        <w:tc>
          <w:tcPr>
            <w:tcW w:w="3827" w:type="dxa"/>
            <w:gridSpan w:val="2"/>
            <w:tcBorders>
              <w:top w:val="single" w:color="auto" w:sz="4" w:space="0"/>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43</w:t>
            </w:r>
            <w:r>
              <w:rPr>
                <w:rFonts w:hint="eastAsia" w:ascii="宋体" w:hAnsi="宋体" w:cs="宋体"/>
                <w:color w:val="000000" w:themeColor="text1"/>
                <w:kern w:val="0"/>
                <w:sz w:val="18"/>
                <w:szCs w:val="18"/>
              </w:rPr>
              <w:t>、食堂经营者应做到“门前三包”，保持清洁卫生</w:t>
            </w:r>
          </w:p>
        </w:tc>
        <w:tc>
          <w:tcPr>
            <w:tcW w:w="7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依据合同</w:t>
            </w:r>
          </w:p>
        </w:tc>
        <w:tc>
          <w:tcPr>
            <w:tcW w:w="2693" w:type="dxa"/>
            <w:tcBorders>
              <w:top w:val="single" w:color="auto" w:sz="4" w:space="0"/>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卫生出现脏、乱、差现象每次扣10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w:t>
            </w:r>
          </w:p>
        </w:tc>
      </w:tr>
      <w:tr>
        <w:tblPrEx>
          <w:tblLayout w:type="fixed"/>
          <w:tblCellMar>
            <w:top w:w="0" w:type="dxa"/>
            <w:left w:w="108" w:type="dxa"/>
            <w:bottom w:w="0" w:type="dxa"/>
            <w:right w:w="108" w:type="dxa"/>
          </w:tblCellMar>
        </w:tblPrEx>
        <w:trPr>
          <w:trHeight w:val="480" w:hRule="atLeast"/>
        </w:trPr>
        <w:tc>
          <w:tcPr>
            <w:tcW w:w="49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63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p>
        </w:tc>
        <w:tc>
          <w:tcPr>
            <w:tcW w:w="3827" w:type="dxa"/>
            <w:gridSpan w:val="2"/>
            <w:tcBorders>
              <w:top w:val="single" w:color="auto" w:sz="4" w:space="0"/>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ascii="宋体" w:hAnsi="宋体" w:cs="宋体"/>
                <w:color w:val="000000" w:themeColor="text1"/>
                <w:kern w:val="0"/>
                <w:sz w:val="18"/>
                <w:szCs w:val="18"/>
              </w:rPr>
              <w:t>44</w:t>
            </w:r>
            <w:r>
              <w:rPr>
                <w:rFonts w:hint="eastAsia" w:ascii="宋体" w:hAnsi="宋体" w:cs="宋体"/>
                <w:color w:val="000000" w:themeColor="text1"/>
                <w:kern w:val="0"/>
                <w:sz w:val="18"/>
                <w:szCs w:val="18"/>
              </w:rPr>
              <w:t>、根据学校情况下达的具体工作</w:t>
            </w:r>
          </w:p>
        </w:tc>
        <w:tc>
          <w:tcPr>
            <w:tcW w:w="709" w:type="dxa"/>
            <w:tcBorders>
              <w:top w:val="nil"/>
              <w:left w:val="nil"/>
              <w:bottom w:val="single" w:color="auto" w:sz="4" w:space="0"/>
              <w:right w:val="single" w:color="auto" w:sz="4" w:space="0"/>
            </w:tcBorders>
            <w:vAlign w:val="center"/>
          </w:tcPr>
          <w:p>
            <w:pPr>
              <w:widowControl/>
              <w:spacing w:line="300" w:lineRule="exact"/>
              <w:jc w:val="left"/>
              <w:rPr>
                <w:rFonts w:ascii="宋体" w:cs="宋体"/>
                <w:color w:val="000000" w:themeColor="text1"/>
                <w:kern w:val="0"/>
                <w:sz w:val="18"/>
                <w:szCs w:val="18"/>
              </w:rPr>
            </w:pPr>
            <w:r>
              <w:rPr>
                <w:rFonts w:hint="eastAsia" w:ascii="宋体" w:hAnsi="宋体" w:cs="宋体"/>
                <w:color w:val="000000" w:themeColor="text1"/>
                <w:kern w:val="0"/>
                <w:sz w:val="18"/>
                <w:szCs w:val="18"/>
              </w:rPr>
              <w:t>依据工作</w:t>
            </w:r>
          </w:p>
        </w:tc>
        <w:tc>
          <w:tcPr>
            <w:tcW w:w="2693" w:type="dxa"/>
            <w:tcBorders>
              <w:top w:val="nil"/>
              <w:left w:val="nil"/>
              <w:bottom w:val="single" w:color="auto" w:sz="4" w:space="0"/>
              <w:right w:val="single" w:color="auto" w:sz="4" w:space="0"/>
            </w:tcBorders>
            <w:vAlign w:val="center"/>
          </w:tcPr>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视工作未完成情况每项予以不低于10</w:t>
            </w:r>
            <w:r>
              <w:rPr>
                <w:rFonts w:ascii="宋体" w:hAnsi="宋体" w:cs="宋体"/>
                <w:color w:val="000000" w:themeColor="text1"/>
                <w:kern w:val="0"/>
                <w:sz w:val="18"/>
                <w:szCs w:val="18"/>
              </w:rPr>
              <w:t>00</w:t>
            </w:r>
            <w:r>
              <w:rPr>
                <w:rFonts w:hint="eastAsia" w:ascii="宋体" w:hAnsi="宋体" w:cs="宋体"/>
                <w:color w:val="000000" w:themeColor="text1"/>
                <w:kern w:val="0"/>
                <w:sz w:val="18"/>
                <w:szCs w:val="18"/>
              </w:rPr>
              <w:t>元的扣款。</w:t>
            </w:r>
          </w:p>
        </w:tc>
        <w:tc>
          <w:tcPr>
            <w:tcW w:w="1559" w:type="dxa"/>
            <w:tcBorders>
              <w:top w:val="nil"/>
              <w:left w:val="nil"/>
              <w:bottom w:val="single" w:color="auto" w:sz="4" w:space="0"/>
              <w:right w:val="single" w:color="auto" w:sz="4" w:space="0"/>
            </w:tcBorders>
            <w:vAlign w:val="center"/>
          </w:tcPr>
          <w:p>
            <w:pPr>
              <w:widowControl/>
              <w:spacing w:line="300" w:lineRule="exact"/>
              <w:jc w:val="center"/>
              <w:rPr>
                <w:rFonts w:ascii="宋体" w:cs="宋体"/>
                <w:color w:val="000000" w:themeColor="text1"/>
                <w:kern w:val="0"/>
                <w:sz w:val="18"/>
                <w:szCs w:val="18"/>
              </w:rPr>
            </w:pPr>
            <w:r>
              <w:rPr>
                <w:rFonts w:hint="eastAsia" w:ascii="宋体" w:hAnsi="宋体" w:cs="宋体"/>
                <w:color w:val="000000" w:themeColor="text1"/>
                <w:kern w:val="0"/>
                <w:sz w:val="18"/>
                <w:szCs w:val="18"/>
              </w:rPr>
              <w:t>不符合要求每次扣</w:t>
            </w:r>
            <w:r>
              <w:rPr>
                <w:rFonts w:ascii="宋体" w:hAnsi="宋体" w:cs="宋体"/>
                <w:color w:val="000000" w:themeColor="text1"/>
                <w:kern w:val="0"/>
                <w:sz w:val="18"/>
                <w:szCs w:val="18"/>
              </w:rPr>
              <w:t>1</w:t>
            </w:r>
            <w:r>
              <w:rPr>
                <w:rFonts w:hint="eastAsia" w:ascii="宋体" w:hAnsi="宋体" w:cs="宋体"/>
                <w:color w:val="000000" w:themeColor="text1"/>
                <w:kern w:val="0"/>
                <w:sz w:val="18"/>
                <w:szCs w:val="18"/>
              </w:rPr>
              <w:t>分及以上</w:t>
            </w:r>
          </w:p>
        </w:tc>
      </w:tr>
    </w:tbl>
    <w:p>
      <w:pPr>
        <w:ind w:firstLine="420" w:firstLineChars="200"/>
        <w:rPr>
          <w:rFonts w:ascii="宋体"/>
          <w:color w:val="000000" w:themeColor="text1"/>
          <w:szCs w:val="21"/>
        </w:rPr>
      </w:pPr>
    </w:p>
    <w:p>
      <w:pPr>
        <w:widowControl/>
        <w:spacing w:line="300" w:lineRule="exact"/>
        <w:rPr>
          <w:rFonts w:ascii="宋体" w:cs="宋体"/>
          <w:color w:val="000000" w:themeColor="text1"/>
          <w:kern w:val="0"/>
          <w:sz w:val="18"/>
          <w:szCs w:val="18"/>
        </w:rPr>
      </w:pPr>
      <w:r>
        <w:rPr>
          <w:rFonts w:hint="eastAsia" w:ascii="宋体" w:hAnsi="宋体" w:cs="宋体"/>
          <w:color w:val="000000" w:themeColor="text1"/>
          <w:kern w:val="0"/>
          <w:sz w:val="18"/>
          <w:szCs w:val="18"/>
        </w:rPr>
        <w:t>备注：甲方可根据实际情况对本办法进行修订，乙方须按修订后的办法执行。</w:t>
      </w:r>
    </w:p>
    <w:p>
      <w:pPr>
        <w:ind w:left="-531" w:leftChars="-253" w:right="-781" w:rightChars="-372"/>
        <w:rPr>
          <w:rFonts w:ascii="宋体"/>
          <w:color w:val="000000" w:themeColor="text1"/>
          <w:szCs w:val="21"/>
        </w:rPr>
      </w:pPr>
    </w:p>
    <w:p>
      <w:pPr>
        <w:keepNext/>
        <w:keepLines/>
        <w:pageBreakBefore/>
        <w:spacing w:before="260" w:after="260" w:line="416" w:lineRule="auto"/>
        <w:outlineLvl w:val="1"/>
        <w:rPr>
          <w:rFonts w:ascii="Calibri Light" w:hAnsi="Calibri Light"/>
          <w:bCs/>
          <w:color w:val="000000" w:themeColor="text1"/>
          <w:kern w:val="0"/>
          <w:sz w:val="24"/>
          <w:szCs w:val="24"/>
        </w:rPr>
      </w:pPr>
      <w:bookmarkStart w:id="77" w:name="_Toc30834"/>
      <w:bookmarkStart w:id="78" w:name="_Toc26281"/>
      <w:bookmarkStart w:id="79" w:name="_Toc422381012"/>
      <w:r>
        <w:rPr>
          <w:rFonts w:hint="eastAsia" w:ascii="Calibri Light" w:hAnsi="Calibri Light"/>
          <w:b/>
          <w:bCs/>
          <w:color w:val="000000" w:themeColor="text1"/>
          <w:kern w:val="0"/>
          <w:szCs w:val="21"/>
        </w:rPr>
        <w:t>附件二</w:t>
      </w:r>
      <w:r>
        <w:rPr>
          <w:rFonts w:hint="eastAsia" w:ascii="Calibri Light" w:hAnsi="Calibri Light"/>
          <w:b/>
          <w:bCs/>
          <w:color w:val="000000" w:themeColor="text1"/>
          <w:kern w:val="0"/>
          <w:sz w:val="24"/>
          <w:szCs w:val="24"/>
        </w:rPr>
        <w:t>长江师范学院南苑食府、接待中心联合经营管理与服务考核办法</w:t>
      </w:r>
      <w:bookmarkEnd w:id="77"/>
      <w:bookmarkEnd w:id="78"/>
      <w:bookmarkEnd w:id="79"/>
    </w:p>
    <w:p>
      <w:pPr>
        <w:ind w:firstLine="422" w:firstLineChars="200"/>
        <w:rPr>
          <w:rFonts w:ascii="宋体"/>
          <w:color w:val="000000" w:themeColor="text1"/>
          <w:kern w:val="0"/>
          <w:szCs w:val="21"/>
        </w:rPr>
      </w:pPr>
      <w:r>
        <w:rPr>
          <w:rFonts w:hint="eastAsia" w:ascii="宋体" w:hAnsi="宋体"/>
          <w:b/>
          <w:color w:val="000000" w:themeColor="text1"/>
          <w:kern w:val="0"/>
          <w:szCs w:val="21"/>
        </w:rPr>
        <w:t>第一条</w:t>
      </w:r>
      <w:r>
        <w:rPr>
          <w:rFonts w:hint="eastAsia" w:ascii="宋体" w:hAnsi="宋体"/>
          <w:color w:val="000000" w:themeColor="text1"/>
          <w:kern w:val="0"/>
          <w:szCs w:val="21"/>
        </w:rPr>
        <w:t>为提高长江师范学院南苑食府、接待中心联合经营管理和服务质量，逐步推进餐饮服务的“专业化、规范化、标准化”，确保正常的教学和生活秩序，加强对管理实施单位的监管，确保管护质量，特制定本办法。</w:t>
      </w:r>
    </w:p>
    <w:p>
      <w:pPr>
        <w:ind w:firstLine="422" w:firstLineChars="200"/>
        <w:rPr>
          <w:rFonts w:ascii="宋体"/>
          <w:color w:val="000000" w:themeColor="text1"/>
          <w:kern w:val="0"/>
          <w:szCs w:val="21"/>
        </w:rPr>
      </w:pPr>
      <w:r>
        <w:rPr>
          <w:rFonts w:hint="eastAsia" w:ascii="宋体" w:hAnsi="宋体"/>
          <w:b/>
          <w:color w:val="000000" w:themeColor="text1"/>
          <w:kern w:val="0"/>
          <w:szCs w:val="21"/>
        </w:rPr>
        <w:t>第二条</w:t>
      </w:r>
      <w:r>
        <w:rPr>
          <w:rFonts w:hint="eastAsia" w:ascii="宋体" w:hAnsi="宋体"/>
          <w:color w:val="000000" w:themeColor="text1"/>
          <w:kern w:val="0"/>
          <w:szCs w:val="21"/>
        </w:rPr>
        <w:t>考核分为日常考核、年终考核和合同期满考核。</w:t>
      </w:r>
    </w:p>
    <w:p>
      <w:pPr>
        <w:ind w:firstLine="422" w:firstLineChars="200"/>
        <w:rPr>
          <w:rFonts w:ascii="宋体"/>
          <w:kern w:val="0"/>
          <w:szCs w:val="21"/>
        </w:rPr>
      </w:pPr>
      <w:r>
        <w:rPr>
          <w:rFonts w:hint="eastAsia" w:ascii="宋体" w:hAnsi="宋体"/>
          <w:b/>
          <w:kern w:val="0"/>
          <w:szCs w:val="21"/>
        </w:rPr>
        <w:t>第三条</w:t>
      </w:r>
      <w:r>
        <w:rPr>
          <w:rFonts w:hint="eastAsia" w:ascii="宋体" w:hAnsi="宋体"/>
          <w:kern w:val="0"/>
          <w:szCs w:val="21"/>
        </w:rPr>
        <w:t>考核的组织及实施</w:t>
      </w:r>
    </w:p>
    <w:p>
      <w:pPr>
        <w:ind w:firstLine="420" w:firstLineChars="200"/>
        <w:rPr>
          <w:rFonts w:ascii="宋体"/>
          <w:kern w:val="0"/>
          <w:szCs w:val="21"/>
        </w:rPr>
      </w:pPr>
      <w:r>
        <w:rPr>
          <w:rFonts w:hint="eastAsia" w:ascii="宋体" w:hAnsi="宋体"/>
          <w:kern w:val="0"/>
          <w:szCs w:val="21"/>
        </w:rPr>
        <w:t>（一）考核范围：合同约定的范围。</w:t>
      </w:r>
    </w:p>
    <w:p>
      <w:pPr>
        <w:ind w:firstLine="420" w:firstLineChars="200"/>
        <w:rPr>
          <w:rFonts w:ascii="宋体"/>
          <w:kern w:val="0"/>
          <w:szCs w:val="21"/>
        </w:rPr>
      </w:pPr>
      <w:r>
        <w:rPr>
          <w:rFonts w:hint="eastAsia" w:ascii="宋体" w:hAnsi="宋体"/>
          <w:kern w:val="0"/>
          <w:szCs w:val="21"/>
        </w:rPr>
        <w:t>（二）考核标准及依据：双方签订的合同、事实和《长江师范学院南苑食府、接待中心联合经营管理日常考核实施细则》、《长江师范学院南苑食府、接待中心联合经营合同期满专家组考核指标》等。</w:t>
      </w:r>
    </w:p>
    <w:p>
      <w:pPr>
        <w:ind w:firstLine="420" w:firstLineChars="200"/>
        <w:rPr>
          <w:rFonts w:ascii="宋体"/>
          <w:kern w:val="0"/>
          <w:szCs w:val="21"/>
        </w:rPr>
      </w:pPr>
      <w:r>
        <w:rPr>
          <w:rFonts w:hint="eastAsia" w:ascii="宋体" w:hAnsi="宋体"/>
          <w:kern w:val="0"/>
          <w:szCs w:val="21"/>
        </w:rPr>
        <w:t>（三）考核的方式</w:t>
      </w:r>
    </w:p>
    <w:p>
      <w:pPr>
        <w:ind w:firstLine="420" w:firstLineChars="200"/>
        <w:rPr>
          <w:rFonts w:ascii="宋体"/>
          <w:kern w:val="0"/>
          <w:szCs w:val="21"/>
        </w:rPr>
      </w:pPr>
      <w:r>
        <w:rPr>
          <w:rFonts w:ascii="宋体" w:hAnsi="宋体"/>
          <w:kern w:val="0"/>
          <w:szCs w:val="21"/>
        </w:rPr>
        <w:t>1</w:t>
      </w:r>
      <w:r>
        <w:rPr>
          <w:rFonts w:hint="eastAsia" w:ascii="宋体" w:hAnsi="宋体"/>
          <w:kern w:val="0"/>
          <w:szCs w:val="21"/>
        </w:rPr>
        <w:t>.日常考核</w:t>
      </w:r>
    </w:p>
    <w:p>
      <w:pPr>
        <w:ind w:firstLine="420" w:firstLineChars="200"/>
        <w:rPr>
          <w:rFonts w:ascii="宋体"/>
          <w:kern w:val="0"/>
          <w:szCs w:val="21"/>
        </w:rPr>
      </w:pPr>
      <w:r>
        <w:rPr>
          <w:rFonts w:hint="eastAsia" w:ascii="宋体" w:hAnsi="宋体"/>
          <w:kern w:val="0"/>
          <w:szCs w:val="21"/>
        </w:rPr>
        <w:t>⑴由长江师范学院后勤管理处膳食科牵头每月进行考核。</w:t>
      </w:r>
    </w:p>
    <w:p>
      <w:pPr>
        <w:ind w:firstLine="420" w:firstLineChars="200"/>
        <w:rPr>
          <w:rFonts w:ascii="宋体"/>
          <w:kern w:val="0"/>
          <w:szCs w:val="21"/>
        </w:rPr>
      </w:pPr>
      <w:r>
        <w:rPr>
          <w:rFonts w:hint="eastAsia" w:ascii="宋体" w:hAnsi="宋体"/>
          <w:kern w:val="0"/>
          <w:szCs w:val="21"/>
        </w:rPr>
        <w:t>⑵由长江师范学院后勤管理处膳食科牵头每季度采取问卷调查的形式进行一次服务对象满意度测评。</w:t>
      </w:r>
    </w:p>
    <w:p>
      <w:pPr>
        <w:ind w:firstLine="420" w:firstLineChars="200"/>
        <w:rPr>
          <w:rFonts w:ascii="宋体"/>
          <w:kern w:val="0"/>
          <w:szCs w:val="21"/>
        </w:rPr>
      </w:pPr>
      <w:r>
        <w:rPr>
          <w:rFonts w:ascii="宋体" w:hAnsi="宋体"/>
          <w:kern w:val="0"/>
          <w:szCs w:val="21"/>
        </w:rPr>
        <w:t>2</w:t>
      </w:r>
      <w:r>
        <w:rPr>
          <w:rFonts w:hint="eastAsia" w:ascii="宋体" w:hAnsi="宋体"/>
          <w:kern w:val="0"/>
          <w:szCs w:val="21"/>
        </w:rPr>
        <w:t>.半年考核</w:t>
      </w:r>
    </w:p>
    <w:p>
      <w:pPr>
        <w:ind w:firstLine="420" w:firstLineChars="200"/>
        <w:rPr>
          <w:rFonts w:ascii="宋体"/>
          <w:kern w:val="0"/>
          <w:szCs w:val="21"/>
        </w:rPr>
      </w:pPr>
      <w:r>
        <w:rPr>
          <w:rFonts w:hint="eastAsia" w:ascii="宋体" w:hAnsi="宋体"/>
          <w:kern w:val="0"/>
          <w:szCs w:val="21"/>
        </w:rPr>
        <w:t>由长江师范学院后勤管理处牵头进行半年考核。</w:t>
      </w:r>
    </w:p>
    <w:p>
      <w:pPr>
        <w:ind w:firstLine="420" w:firstLineChars="200"/>
        <w:rPr>
          <w:rFonts w:ascii="宋体"/>
          <w:kern w:val="0"/>
          <w:szCs w:val="21"/>
        </w:rPr>
      </w:pPr>
      <w:r>
        <w:rPr>
          <w:rFonts w:ascii="宋体" w:hAnsi="宋体"/>
          <w:kern w:val="0"/>
          <w:szCs w:val="21"/>
        </w:rPr>
        <w:t>3</w:t>
      </w:r>
      <w:r>
        <w:rPr>
          <w:rFonts w:hint="eastAsia" w:ascii="宋体" w:hAnsi="宋体"/>
          <w:kern w:val="0"/>
          <w:szCs w:val="21"/>
        </w:rPr>
        <w:t>.年终考核。由长江师范学院后勤管理处牵头进行年终考核。</w:t>
      </w:r>
    </w:p>
    <w:p>
      <w:pPr>
        <w:ind w:firstLine="420" w:firstLineChars="200"/>
        <w:rPr>
          <w:rFonts w:ascii="宋体"/>
          <w:kern w:val="0"/>
          <w:szCs w:val="21"/>
        </w:rPr>
      </w:pPr>
      <w:r>
        <w:rPr>
          <w:rFonts w:ascii="宋体" w:hAnsi="宋体"/>
          <w:kern w:val="0"/>
          <w:szCs w:val="21"/>
        </w:rPr>
        <w:t>4</w:t>
      </w:r>
      <w:r>
        <w:rPr>
          <w:rFonts w:hint="eastAsia" w:ascii="宋体" w:hAnsi="宋体"/>
          <w:kern w:val="0"/>
          <w:szCs w:val="21"/>
        </w:rPr>
        <w:t>.合同期满考核</w:t>
      </w:r>
    </w:p>
    <w:p>
      <w:pPr>
        <w:ind w:firstLine="420" w:firstLineChars="200"/>
        <w:rPr>
          <w:rFonts w:ascii="宋体"/>
          <w:color w:val="000000" w:themeColor="text1"/>
          <w:kern w:val="0"/>
          <w:szCs w:val="21"/>
        </w:rPr>
      </w:pPr>
      <w:r>
        <w:rPr>
          <w:rFonts w:hint="eastAsia" w:ascii="宋体" w:hAnsi="宋体"/>
          <w:kern w:val="0"/>
          <w:szCs w:val="21"/>
        </w:rPr>
        <w:t>由长江师范学院国有资产管理处牵头进行合同期满考核。合同期满考核由合同期内每年</w:t>
      </w:r>
      <w:r>
        <w:rPr>
          <w:rFonts w:hint="eastAsia" w:ascii="宋体" w:hAnsi="宋体"/>
          <w:color w:val="000000" w:themeColor="text1"/>
          <w:kern w:val="0"/>
          <w:szCs w:val="21"/>
        </w:rPr>
        <w:t>年终考核和合同期满专家组考核两个部分组成。</w:t>
      </w:r>
    </w:p>
    <w:p>
      <w:pPr>
        <w:ind w:firstLine="422" w:firstLineChars="200"/>
        <w:rPr>
          <w:rFonts w:ascii="宋体"/>
          <w:color w:val="000000" w:themeColor="text1"/>
          <w:kern w:val="0"/>
          <w:szCs w:val="21"/>
        </w:rPr>
      </w:pPr>
      <w:r>
        <w:rPr>
          <w:rFonts w:hint="eastAsia" w:ascii="宋体" w:hAnsi="宋体"/>
          <w:b/>
          <w:color w:val="000000" w:themeColor="text1"/>
          <w:kern w:val="0"/>
          <w:szCs w:val="21"/>
        </w:rPr>
        <w:t>第四条</w:t>
      </w:r>
      <w:r>
        <w:rPr>
          <w:rFonts w:hint="eastAsia" w:ascii="宋体" w:hAnsi="宋体"/>
          <w:color w:val="000000" w:themeColor="text1"/>
          <w:kern w:val="0"/>
          <w:szCs w:val="21"/>
        </w:rPr>
        <w:t>考核结果的确定及运用</w:t>
      </w:r>
    </w:p>
    <w:p>
      <w:pPr>
        <w:ind w:firstLine="420" w:firstLineChars="200"/>
        <w:rPr>
          <w:rFonts w:ascii="宋体"/>
          <w:color w:val="000000" w:themeColor="text1"/>
          <w:kern w:val="0"/>
          <w:szCs w:val="21"/>
        </w:rPr>
      </w:pPr>
      <w:r>
        <w:rPr>
          <w:rFonts w:hint="eastAsia" w:ascii="宋体" w:hAnsi="宋体"/>
          <w:color w:val="000000" w:themeColor="text1"/>
          <w:kern w:val="0"/>
          <w:szCs w:val="21"/>
        </w:rPr>
        <w:t>（一）本考核办法确定的考核得分（</w:t>
      </w:r>
      <w:r>
        <w:rPr>
          <w:rFonts w:ascii="宋体" w:hAnsi="宋体"/>
          <w:color w:val="000000" w:themeColor="text1"/>
          <w:kern w:val="0"/>
          <w:szCs w:val="21"/>
        </w:rPr>
        <w:t>X</w:t>
      </w:r>
      <w:r>
        <w:rPr>
          <w:rFonts w:hint="eastAsia" w:ascii="宋体" w:hAnsi="宋体"/>
          <w:color w:val="000000" w:themeColor="text1"/>
          <w:kern w:val="0"/>
          <w:szCs w:val="21"/>
        </w:rPr>
        <w:t>）及考核等级对应关系为：</w:t>
      </w:r>
      <w:r>
        <w:rPr>
          <w:rFonts w:ascii="宋体" w:hAnsi="宋体"/>
          <w:color w:val="000000" w:themeColor="text1"/>
          <w:kern w:val="0"/>
          <w:szCs w:val="21"/>
        </w:rPr>
        <w:t>X</w:t>
      </w:r>
      <w:r>
        <w:rPr>
          <w:rFonts w:hint="eastAsia" w:ascii="宋体" w:hAnsi="宋体"/>
          <w:color w:val="000000" w:themeColor="text1"/>
          <w:kern w:val="0"/>
          <w:szCs w:val="21"/>
        </w:rPr>
        <w:t>≥</w:t>
      </w:r>
      <w:r>
        <w:rPr>
          <w:rFonts w:ascii="宋体" w:hAnsi="宋体"/>
          <w:color w:val="000000" w:themeColor="text1"/>
          <w:kern w:val="0"/>
          <w:szCs w:val="21"/>
        </w:rPr>
        <w:t>90</w:t>
      </w:r>
      <w:r>
        <w:rPr>
          <w:rFonts w:hint="eastAsia" w:ascii="宋体" w:hAnsi="宋体"/>
          <w:color w:val="000000" w:themeColor="text1"/>
          <w:kern w:val="0"/>
          <w:szCs w:val="21"/>
        </w:rPr>
        <w:t>为优秀，</w:t>
      </w:r>
      <w:r>
        <w:rPr>
          <w:rFonts w:ascii="宋体" w:hAnsi="宋体"/>
          <w:color w:val="000000" w:themeColor="text1"/>
          <w:kern w:val="0"/>
          <w:szCs w:val="21"/>
        </w:rPr>
        <w:t>90</w:t>
      </w:r>
      <w:r>
        <w:rPr>
          <w:rFonts w:hint="eastAsia" w:ascii="宋体" w:hAnsi="宋体"/>
          <w:color w:val="000000" w:themeColor="text1"/>
          <w:kern w:val="0"/>
          <w:szCs w:val="21"/>
        </w:rPr>
        <w:t>＞</w:t>
      </w:r>
      <w:r>
        <w:rPr>
          <w:rFonts w:ascii="宋体" w:hAnsi="宋体"/>
          <w:color w:val="000000" w:themeColor="text1"/>
          <w:kern w:val="0"/>
          <w:szCs w:val="21"/>
        </w:rPr>
        <w:t>X</w:t>
      </w:r>
      <w:r>
        <w:rPr>
          <w:rFonts w:hint="eastAsia" w:ascii="宋体" w:hAnsi="宋体"/>
          <w:color w:val="000000" w:themeColor="text1"/>
          <w:kern w:val="0"/>
          <w:szCs w:val="21"/>
        </w:rPr>
        <w:t>≥</w:t>
      </w:r>
      <w:r>
        <w:rPr>
          <w:rFonts w:ascii="宋体" w:hAnsi="宋体"/>
          <w:color w:val="000000" w:themeColor="text1"/>
          <w:kern w:val="0"/>
          <w:szCs w:val="21"/>
        </w:rPr>
        <w:t>80</w:t>
      </w:r>
      <w:r>
        <w:rPr>
          <w:rFonts w:hint="eastAsia" w:ascii="宋体" w:hAnsi="宋体"/>
          <w:color w:val="000000" w:themeColor="text1"/>
          <w:kern w:val="0"/>
          <w:szCs w:val="21"/>
        </w:rPr>
        <w:t>为良好，</w:t>
      </w:r>
      <w:r>
        <w:rPr>
          <w:rFonts w:ascii="宋体" w:hAnsi="宋体"/>
          <w:color w:val="000000" w:themeColor="text1"/>
          <w:kern w:val="0"/>
          <w:szCs w:val="21"/>
        </w:rPr>
        <w:t>80</w:t>
      </w:r>
      <w:r>
        <w:rPr>
          <w:rFonts w:hint="eastAsia" w:ascii="宋体" w:hAnsi="宋体"/>
          <w:color w:val="000000" w:themeColor="text1"/>
          <w:kern w:val="0"/>
          <w:szCs w:val="21"/>
        </w:rPr>
        <w:t>＞</w:t>
      </w:r>
      <w:r>
        <w:rPr>
          <w:rFonts w:ascii="宋体" w:hAnsi="宋体"/>
          <w:color w:val="000000" w:themeColor="text1"/>
          <w:kern w:val="0"/>
          <w:szCs w:val="21"/>
        </w:rPr>
        <w:t>X</w:t>
      </w:r>
      <w:r>
        <w:rPr>
          <w:rFonts w:hint="eastAsia" w:ascii="宋体" w:hAnsi="宋体"/>
          <w:color w:val="000000" w:themeColor="text1"/>
          <w:kern w:val="0"/>
          <w:szCs w:val="21"/>
        </w:rPr>
        <w:t>≥</w:t>
      </w:r>
      <w:r>
        <w:rPr>
          <w:rFonts w:ascii="宋体" w:hAnsi="宋体"/>
          <w:color w:val="000000" w:themeColor="text1"/>
          <w:kern w:val="0"/>
          <w:szCs w:val="21"/>
        </w:rPr>
        <w:t>60</w:t>
      </w:r>
      <w:r>
        <w:rPr>
          <w:rFonts w:hint="eastAsia" w:ascii="宋体" w:hAnsi="宋体"/>
          <w:color w:val="000000" w:themeColor="text1"/>
          <w:kern w:val="0"/>
          <w:szCs w:val="21"/>
        </w:rPr>
        <w:t>为合格，</w:t>
      </w:r>
      <w:r>
        <w:rPr>
          <w:rFonts w:ascii="宋体" w:hAnsi="宋体"/>
          <w:color w:val="000000" w:themeColor="text1"/>
          <w:kern w:val="0"/>
          <w:szCs w:val="21"/>
        </w:rPr>
        <w:t>X</w:t>
      </w:r>
      <w:r>
        <w:rPr>
          <w:rFonts w:hint="eastAsia" w:ascii="宋体" w:hAnsi="宋体"/>
          <w:color w:val="000000" w:themeColor="text1"/>
          <w:kern w:val="0"/>
          <w:szCs w:val="21"/>
        </w:rPr>
        <w:t>＜</w:t>
      </w:r>
      <w:r>
        <w:rPr>
          <w:rFonts w:ascii="宋体" w:hAnsi="宋体"/>
          <w:color w:val="000000" w:themeColor="text1"/>
          <w:kern w:val="0"/>
          <w:szCs w:val="21"/>
        </w:rPr>
        <w:t>60</w:t>
      </w:r>
      <w:r>
        <w:rPr>
          <w:rFonts w:hint="eastAsia" w:ascii="宋体" w:hAnsi="宋体"/>
          <w:color w:val="000000" w:themeColor="text1"/>
          <w:kern w:val="0"/>
          <w:szCs w:val="21"/>
        </w:rPr>
        <w:t>为不合格。</w:t>
      </w:r>
    </w:p>
    <w:p>
      <w:pPr>
        <w:ind w:firstLine="420" w:firstLineChars="200"/>
        <w:rPr>
          <w:rFonts w:ascii="宋体"/>
          <w:color w:val="000000" w:themeColor="text1"/>
          <w:kern w:val="0"/>
          <w:szCs w:val="21"/>
        </w:rPr>
      </w:pPr>
      <w:r>
        <w:rPr>
          <w:rFonts w:hint="eastAsia" w:ascii="宋体" w:hAnsi="宋体"/>
          <w:color w:val="000000" w:themeColor="text1"/>
          <w:kern w:val="0"/>
          <w:szCs w:val="21"/>
        </w:rPr>
        <w:t>（二）日常考核得分由饮食中心按合同约定和考核标准等确定。</w:t>
      </w:r>
    </w:p>
    <w:p>
      <w:pPr>
        <w:ind w:firstLine="420" w:firstLineChars="200"/>
        <w:rPr>
          <w:rFonts w:ascii="宋体"/>
          <w:color w:val="000000" w:themeColor="text1"/>
          <w:kern w:val="0"/>
          <w:szCs w:val="21"/>
        </w:rPr>
      </w:pPr>
      <w:r>
        <w:rPr>
          <w:rFonts w:hint="eastAsia" w:ascii="宋体" w:hAnsi="宋体"/>
          <w:color w:val="000000" w:themeColor="text1"/>
          <w:kern w:val="0"/>
          <w:szCs w:val="21"/>
        </w:rPr>
        <w:t>（三）半年考核得分由每月考核得分的算术平均×</w:t>
      </w:r>
      <w:r>
        <w:rPr>
          <w:rFonts w:ascii="宋体" w:hAnsi="宋体"/>
          <w:color w:val="000000" w:themeColor="text1"/>
          <w:kern w:val="0"/>
          <w:szCs w:val="21"/>
        </w:rPr>
        <w:t>85%</w:t>
      </w:r>
      <w:r>
        <w:rPr>
          <w:rFonts w:hint="eastAsia" w:ascii="宋体" w:hAnsi="宋体"/>
          <w:color w:val="000000" w:themeColor="text1"/>
          <w:kern w:val="0"/>
          <w:szCs w:val="21"/>
        </w:rPr>
        <w:t>＋季度服务对象满意度测评的算术平均×</w:t>
      </w:r>
      <w:r>
        <w:rPr>
          <w:rFonts w:ascii="宋体" w:hAnsi="宋体"/>
          <w:color w:val="000000" w:themeColor="text1"/>
          <w:kern w:val="0"/>
          <w:szCs w:val="21"/>
        </w:rPr>
        <w:t>15%</w:t>
      </w:r>
      <w:r>
        <w:rPr>
          <w:rFonts w:hint="eastAsia" w:ascii="宋体" w:hAnsi="宋体"/>
          <w:color w:val="000000" w:themeColor="text1"/>
          <w:kern w:val="0"/>
          <w:szCs w:val="21"/>
        </w:rPr>
        <w:t>确定。</w:t>
      </w:r>
    </w:p>
    <w:p>
      <w:pPr>
        <w:ind w:firstLine="420" w:firstLineChars="200"/>
        <w:rPr>
          <w:rFonts w:ascii="宋体"/>
          <w:color w:val="000000" w:themeColor="text1"/>
          <w:kern w:val="0"/>
          <w:szCs w:val="21"/>
        </w:rPr>
      </w:pPr>
      <w:r>
        <w:rPr>
          <w:rFonts w:hint="eastAsia" w:ascii="宋体" w:hAnsi="宋体"/>
          <w:color w:val="000000" w:themeColor="text1"/>
          <w:kern w:val="0"/>
          <w:szCs w:val="21"/>
        </w:rPr>
        <w:t>（四）</w:t>
      </w:r>
      <w:r>
        <w:rPr>
          <w:rFonts w:ascii="宋体" w:hAnsi="宋体"/>
          <w:color w:val="000000" w:themeColor="text1"/>
          <w:kern w:val="0"/>
          <w:szCs w:val="21"/>
        </w:rPr>
        <w:t>4</w:t>
      </w:r>
      <w:r>
        <w:rPr>
          <w:rFonts w:hint="eastAsia" w:ascii="宋体" w:hAnsi="宋体"/>
          <w:color w:val="000000" w:themeColor="text1"/>
          <w:kern w:val="0"/>
          <w:szCs w:val="21"/>
        </w:rPr>
        <w:t>年终考核得分由全年每月考核得分的算术平均×</w:t>
      </w:r>
      <w:r>
        <w:rPr>
          <w:rFonts w:ascii="宋体" w:hAnsi="宋体"/>
          <w:color w:val="000000" w:themeColor="text1"/>
          <w:kern w:val="0"/>
          <w:szCs w:val="21"/>
        </w:rPr>
        <w:t>85%</w:t>
      </w:r>
      <w:r>
        <w:rPr>
          <w:rFonts w:hint="eastAsia" w:ascii="宋体" w:hAnsi="宋体"/>
          <w:color w:val="000000" w:themeColor="text1"/>
          <w:kern w:val="0"/>
          <w:szCs w:val="21"/>
        </w:rPr>
        <w:t>＋季度服务对象满意度测评的算术平均×</w:t>
      </w:r>
      <w:r>
        <w:rPr>
          <w:rFonts w:ascii="宋体" w:hAnsi="宋体"/>
          <w:color w:val="000000" w:themeColor="text1"/>
          <w:kern w:val="0"/>
          <w:szCs w:val="21"/>
        </w:rPr>
        <w:t>15%</w:t>
      </w:r>
      <w:r>
        <w:rPr>
          <w:rFonts w:hint="eastAsia" w:ascii="宋体" w:hAnsi="宋体"/>
          <w:color w:val="000000" w:themeColor="text1"/>
          <w:kern w:val="0"/>
          <w:szCs w:val="21"/>
        </w:rPr>
        <w:t>确定。</w:t>
      </w:r>
    </w:p>
    <w:p>
      <w:pPr>
        <w:ind w:firstLine="420" w:firstLineChars="200"/>
        <w:rPr>
          <w:rFonts w:ascii="宋体"/>
          <w:color w:val="000000" w:themeColor="text1"/>
          <w:kern w:val="0"/>
          <w:szCs w:val="21"/>
        </w:rPr>
      </w:pPr>
      <w:r>
        <w:rPr>
          <w:rFonts w:hint="eastAsia" w:ascii="宋体" w:hAnsi="宋体"/>
          <w:color w:val="000000" w:themeColor="text1"/>
          <w:kern w:val="0"/>
          <w:szCs w:val="21"/>
        </w:rPr>
        <w:t>（五）合同期满考核分值（</w:t>
      </w:r>
      <w:r>
        <w:rPr>
          <w:rFonts w:ascii="宋体" w:hAnsi="宋体"/>
          <w:color w:val="000000" w:themeColor="text1"/>
          <w:kern w:val="0"/>
          <w:szCs w:val="21"/>
        </w:rPr>
        <w:t>X</w:t>
      </w:r>
      <w:r>
        <w:rPr>
          <w:rFonts w:hint="eastAsia" w:ascii="宋体" w:hAnsi="宋体"/>
          <w:color w:val="000000" w:themeColor="text1"/>
          <w:kern w:val="0"/>
          <w:szCs w:val="21"/>
        </w:rPr>
        <w:t>）计算方式为：</w:t>
      </w:r>
      <w:r>
        <w:rPr>
          <w:rFonts w:ascii="宋体" w:hAnsi="宋体"/>
          <w:color w:val="000000" w:themeColor="text1"/>
          <w:kern w:val="0"/>
          <w:szCs w:val="21"/>
        </w:rPr>
        <w:t>X=</w:t>
      </w:r>
      <w:r>
        <w:rPr>
          <w:rFonts w:hint="eastAsia" w:ascii="宋体" w:hAnsi="宋体"/>
          <w:color w:val="000000" w:themeColor="text1"/>
          <w:kern w:val="0"/>
          <w:szCs w:val="21"/>
        </w:rPr>
        <w:t>合同期内每年年终考核得分的算术平均值×</w:t>
      </w:r>
      <w:r>
        <w:rPr>
          <w:rFonts w:ascii="宋体" w:hAnsi="宋体"/>
          <w:color w:val="000000" w:themeColor="text1"/>
          <w:kern w:val="0"/>
          <w:szCs w:val="21"/>
        </w:rPr>
        <w:t>70%+</w:t>
      </w:r>
      <w:r>
        <w:rPr>
          <w:rFonts w:hint="eastAsia" w:ascii="宋体" w:hAnsi="宋体"/>
          <w:color w:val="000000" w:themeColor="text1"/>
          <w:kern w:val="0"/>
          <w:szCs w:val="21"/>
        </w:rPr>
        <w:t>合同期满专家组考核得分×</w:t>
      </w:r>
      <w:r>
        <w:rPr>
          <w:rFonts w:ascii="宋体" w:hAnsi="宋体"/>
          <w:color w:val="000000" w:themeColor="text1"/>
          <w:kern w:val="0"/>
          <w:szCs w:val="21"/>
        </w:rPr>
        <w:t>30%</w:t>
      </w:r>
      <w:r>
        <w:rPr>
          <w:rFonts w:hint="eastAsia" w:ascii="宋体" w:hAnsi="宋体"/>
          <w:color w:val="000000" w:themeColor="text1"/>
          <w:kern w:val="0"/>
          <w:szCs w:val="21"/>
        </w:rPr>
        <w:t>。</w:t>
      </w:r>
    </w:p>
    <w:p>
      <w:pPr>
        <w:ind w:firstLine="420" w:firstLineChars="200"/>
        <w:rPr>
          <w:rFonts w:ascii="宋体"/>
          <w:color w:val="000000" w:themeColor="text1"/>
          <w:kern w:val="0"/>
          <w:szCs w:val="21"/>
        </w:rPr>
      </w:pPr>
      <w:r>
        <w:rPr>
          <w:rFonts w:hint="eastAsia" w:ascii="宋体" w:hAnsi="宋体"/>
          <w:color w:val="000000" w:themeColor="text1"/>
          <w:kern w:val="0"/>
          <w:szCs w:val="21"/>
        </w:rPr>
        <w:t>（六）考核结果存档</w:t>
      </w:r>
    </w:p>
    <w:p>
      <w:pPr>
        <w:ind w:firstLine="420" w:firstLineChars="200"/>
        <w:rPr>
          <w:rFonts w:ascii="宋体"/>
          <w:color w:val="000000" w:themeColor="text1"/>
          <w:kern w:val="0"/>
          <w:szCs w:val="21"/>
        </w:rPr>
      </w:pPr>
      <w:r>
        <w:rPr>
          <w:rFonts w:hint="eastAsia" w:ascii="宋体" w:hAnsi="宋体"/>
          <w:color w:val="000000" w:themeColor="text1"/>
          <w:kern w:val="0"/>
          <w:szCs w:val="21"/>
        </w:rPr>
        <w:t>甲乙双方对考核结果签字认可，存档备查。</w:t>
      </w:r>
    </w:p>
    <w:p>
      <w:pPr>
        <w:ind w:firstLine="422" w:firstLineChars="200"/>
        <w:rPr>
          <w:rFonts w:ascii="宋体"/>
          <w:color w:val="000000" w:themeColor="text1"/>
          <w:kern w:val="0"/>
          <w:szCs w:val="21"/>
        </w:rPr>
      </w:pPr>
      <w:r>
        <w:rPr>
          <w:rFonts w:hint="eastAsia" w:ascii="宋体" w:hAnsi="宋体"/>
          <w:b/>
          <w:color w:val="000000" w:themeColor="text1"/>
          <w:kern w:val="0"/>
          <w:szCs w:val="21"/>
        </w:rPr>
        <w:t>第五条</w:t>
      </w:r>
      <w:r>
        <w:rPr>
          <w:rFonts w:hint="eastAsia" w:ascii="宋体" w:hAnsi="宋体"/>
          <w:color w:val="000000" w:themeColor="text1"/>
          <w:kern w:val="0"/>
          <w:szCs w:val="21"/>
        </w:rPr>
        <w:t>其他</w:t>
      </w:r>
    </w:p>
    <w:p>
      <w:pPr>
        <w:ind w:firstLine="420" w:firstLineChars="200"/>
        <w:rPr>
          <w:rFonts w:ascii="宋体"/>
          <w:color w:val="000000" w:themeColor="text1"/>
          <w:kern w:val="0"/>
          <w:szCs w:val="21"/>
        </w:rPr>
      </w:pPr>
      <w:r>
        <w:rPr>
          <w:rFonts w:hint="eastAsia" w:ascii="宋体" w:hAnsi="宋体"/>
          <w:color w:val="000000" w:themeColor="text1"/>
          <w:kern w:val="0"/>
          <w:szCs w:val="21"/>
        </w:rPr>
        <w:t>（一）甲方可根据实际情况对本办法进行修订，乙方须按修订后的办法执行。</w:t>
      </w:r>
    </w:p>
    <w:p>
      <w:pPr>
        <w:ind w:firstLine="420" w:firstLineChars="200"/>
        <w:rPr>
          <w:rFonts w:ascii="宋体"/>
          <w:color w:val="000000" w:themeColor="text1"/>
          <w:kern w:val="0"/>
          <w:szCs w:val="21"/>
        </w:rPr>
      </w:pPr>
      <w:r>
        <w:rPr>
          <w:rFonts w:hint="eastAsia" w:ascii="宋体" w:hAnsi="宋体"/>
          <w:color w:val="000000" w:themeColor="text1"/>
          <w:kern w:val="0"/>
          <w:szCs w:val="21"/>
        </w:rPr>
        <w:t>（二）本办法由长江师范学院负责解释。</w:t>
      </w:r>
    </w:p>
    <w:p>
      <w:pPr>
        <w:ind w:firstLine="420" w:firstLineChars="200"/>
        <w:rPr>
          <w:rFonts w:ascii="宋体"/>
          <w:color w:val="000000" w:themeColor="text1"/>
          <w:kern w:val="0"/>
          <w:szCs w:val="21"/>
        </w:rPr>
      </w:pPr>
      <w:r>
        <w:rPr>
          <w:rFonts w:hint="eastAsia" w:ascii="宋体" w:hAnsi="宋体"/>
          <w:color w:val="000000" w:themeColor="text1"/>
          <w:kern w:val="0"/>
          <w:szCs w:val="21"/>
        </w:rPr>
        <w:t>（三）本办法自合同签订之日起开始实施。</w:t>
      </w:r>
      <w:bookmarkStart w:id="80" w:name="_Toc422381013"/>
      <w:bookmarkStart w:id="81" w:name="_Toc12200"/>
    </w:p>
    <w:p>
      <w:pPr>
        <w:keepNext/>
        <w:keepLines/>
        <w:pageBreakBefore/>
        <w:spacing w:before="260" w:after="260" w:line="416" w:lineRule="auto"/>
        <w:outlineLvl w:val="1"/>
        <w:rPr>
          <w:rFonts w:ascii="Calibri Light" w:hAnsi="Calibri Light"/>
          <w:bCs/>
          <w:color w:val="000000" w:themeColor="text1"/>
          <w:kern w:val="0"/>
          <w:sz w:val="28"/>
          <w:szCs w:val="28"/>
        </w:rPr>
      </w:pPr>
      <w:bookmarkStart w:id="82" w:name="_Toc1066"/>
      <w:r>
        <w:rPr>
          <w:rFonts w:hint="eastAsia" w:ascii="Calibri Light" w:hAnsi="Calibri Light"/>
          <w:b/>
          <w:bCs/>
          <w:color w:val="000000" w:themeColor="text1"/>
          <w:kern w:val="0"/>
          <w:szCs w:val="21"/>
        </w:rPr>
        <w:t xml:space="preserve">附件三  </w:t>
      </w:r>
      <w:r>
        <w:rPr>
          <w:rFonts w:hint="eastAsia" w:ascii="宋体" w:hAnsi="宋体"/>
          <w:b/>
          <w:bCs/>
          <w:color w:val="000000" w:themeColor="text1"/>
          <w:kern w:val="0"/>
          <w:sz w:val="24"/>
          <w:szCs w:val="24"/>
        </w:rPr>
        <w:t>长江师范学院南苑食府、接待中心联合经营合同期满专家组考核指标</w:t>
      </w:r>
      <w:bookmarkEnd w:id="82"/>
    </w:p>
    <w:bookmarkEnd w:id="80"/>
    <w:bookmarkEnd w:id="81"/>
    <w:p>
      <w:pPr>
        <w:ind w:firstLine="315" w:firstLineChars="150"/>
        <w:rPr>
          <w:rFonts w:ascii="宋体"/>
          <w:color w:val="000000" w:themeColor="text1"/>
          <w:szCs w:val="21"/>
        </w:rPr>
      </w:pPr>
      <w:r>
        <w:rPr>
          <w:rFonts w:hint="eastAsia" w:ascii="宋体" w:hAnsi="宋体"/>
          <w:color w:val="000000" w:themeColor="text1"/>
          <w:szCs w:val="21"/>
        </w:rPr>
        <w:t>被考核单位：</w:t>
      </w:r>
    </w:p>
    <w:tbl>
      <w:tblPr>
        <w:tblStyle w:val="43"/>
        <w:tblW w:w="8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588"/>
        <w:gridCol w:w="2945"/>
        <w:gridCol w:w="774"/>
        <w:gridCol w:w="2223"/>
        <w:gridCol w:w="589"/>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blHeader/>
          <w:jc w:val="center"/>
        </w:trPr>
        <w:tc>
          <w:tcPr>
            <w:tcW w:w="621" w:type="dxa"/>
            <w:vAlign w:val="center"/>
          </w:tcPr>
          <w:p>
            <w:pPr>
              <w:spacing w:line="260" w:lineRule="exact"/>
              <w:jc w:val="center"/>
              <w:rPr>
                <w:rFonts w:ascii="宋体"/>
                <w:color w:val="000000" w:themeColor="text1"/>
                <w:szCs w:val="21"/>
              </w:rPr>
            </w:pPr>
            <w:r>
              <w:rPr>
                <w:rFonts w:hint="eastAsia" w:ascii="宋体" w:hAnsi="宋体"/>
                <w:color w:val="000000" w:themeColor="text1"/>
                <w:szCs w:val="21"/>
              </w:rPr>
              <w:t>考核项目</w:t>
            </w:r>
          </w:p>
        </w:tc>
        <w:tc>
          <w:tcPr>
            <w:tcW w:w="588" w:type="dxa"/>
            <w:vAlign w:val="center"/>
          </w:tcPr>
          <w:p>
            <w:pPr>
              <w:spacing w:line="260" w:lineRule="exact"/>
              <w:jc w:val="center"/>
              <w:rPr>
                <w:rFonts w:ascii="宋体"/>
                <w:color w:val="000000" w:themeColor="text1"/>
                <w:szCs w:val="21"/>
              </w:rPr>
            </w:pPr>
            <w:r>
              <w:rPr>
                <w:rFonts w:hint="eastAsia" w:ascii="宋体" w:hAnsi="宋体"/>
                <w:color w:val="000000" w:themeColor="text1"/>
                <w:szCs w:val="21"/>
              </w:rPr>
              <w:t>序号</w:t>
            </w:r>
          </w:p>
        </w:tc>
        <w:tc>
          <w:tcPr>
            <w:tcW w:w="2945" w:type="dxa"/>
            <w:vAlign w:val="center"/>
          </w:tcPr>
          <w:p>
            <w:pPr>
              <w:spacing w:line="260" w:lineRule="exact"/>
              <w:jc w:val="center"/>
              <w:rPr>
                <w:rFonts w:ascii="宋体"/>
                <w:color w:val="000000" w:themeColor="text1"/>
                <w:szCs w:val="21"/>
              </w:rPr>
            </w:pPr>
            <w:r>
              <w:rPr>
                <w:rFonts w:hint="eastAsia" w:ascii="宋体" w:hAnsi="宋体"/>
                <w:color w:val="000000" w:themeColor="text1"/>
                <w:szCs w:val="21"/>
              </w:rPr>
              <w:t>考核内容</w:t>
            </w:r>
          </w:p>
        </w:tc>
        <w:tc>
          <w:tcPr>
            <w:tcW w:w="774" w:type="dxa"/>
            <w:vAlign w:val="center"/>
          </w:tcPr>
          <w:p>
            <w:pPr>
              <w:spacing w:line="260" w:lineRule="exact"/>
              <w:jc w:val="center"/>
              <w:rPr>
                <w:rFonts w:ascii="宋体"/>
                <w:color w:val="000000" w:themeColor="text1"/>
                <w:szCs w:val="21"/>
              </w:rPr>
            </w:pPr>
            <w:r>
              <w:rPr>
                <w:rFonts w:hint="eastAsia" w:ascii="宋体" w:hAnsi="宋体"/>
                <w:color w:val="000000" w:themeColor="text1"/>
                <w:szCs w:val="21"/>
              </w:rPr>
              <w:t>考核方法</w:t>
            </w:r>
          </w:p>
        </w:tc>
        <w:tc>
          <w:tcPr>
            <w:tcW w:w="2223" w:type="dxa"/>
            <w:vAlign w:val="center"/>
          </w:tcPr>
          <w:p>
            <w:pPr>
              <w:spacing w:line="260" w:lineRule="exact"/>
              <w:jc w:val="center"/>
              <w:rPr>
                <w:rFonts w:ascii="宋体"/>
                <w:color w:val="000000" w:themeColor="text1"/>
                <w:szCs w:val="21"/>
              </w:rPr>
            </w:pPr>
            <w:r>
              <w:rPr>
                <w:rFonts w:hint="eastAsia" w:ascii="宋体" w:hAnsi="宋体"/>
                <w:color w:val="000000" w:themeColor="text1"/>
                <w:szCs w:val="21"/>
              </w:rPr>
              <w:t>扣分标准</w:t>
            </w:r>
          </w:p>
        </w:tc>
        <w:tc>
          <w:tcPr>
            <w:tcW w:w="589" w:type="dxa"/>
            <w:vAlign w:val="center"/>
          </w:tcPr>
          <w:p>
            <w:pPr>
              <w:spacing w:line="260" w:lineRule="exact"/>
              <w:jc w:val="center"/>
              <w:rPr>
                <w:rFonts w:ascii="宋体"/>
                <w:color w:val="000000" w:themeColor="text1"/>
                <w:szCs w:val="21"/>
              </w:rPr>
            </w:pPr>
            <w:r>
              <w:rPr>
                <w:rFonts w:hint="eastAsia" w:ascii="宋体" w:hAnsi="宋体"/>
                <w:color w:val="000000" w:themeColor="text1"/>
                <w:szCs w:val="21"/>
              </w:rPr>
              <w:t>项目总分</w:t>
            </w:r>
          </w:p>
        </w:tc>
        <w:tc>
          <w:tcPr>
            <w:tcW w:w="597" w:type="dxa"/>
            <w:vAlign w:val="center"/>
          </w:tcPr>
          <w:p>
            <w:pPr>
              <w:spacing w:line="260" w:lineRule="exact"/>
              <w:jc w:val="center"/>
              <w:rPr>
                <w:rFonts w:ascii="宋体"/>
                <w:color w:val="000000" w:themeColor="text1"/>
                <w:szCs w:val="21"/>
              </w:rPr>
            </w:pPr>
            <w:r>
              <w:rPr>
                <w:rFonts w:hint="eastAsia" w:ascii="宋体" w:hAnsi="宋体"/>
                <w:color w:val="000000" w:themeColor="text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restart"/>
            <w:vAlign w:val="center"/>
          </w:tcPr>
          <w:p>
            <w:pPr>
              <w:jc w:val="center"/>
              <w:rPr>
                <w:rFonts w:ascii="宋体"/>
                <w:color w:val="000000" w:themeColor="text1"/>
                <w:szCs w:val="21"/>
              </w:rPr>
            </w:pPr>
            <w:r>
              <w:rPr>
                <w:rFonts w:hint="eastAsia" w:ascii="宋体" w:hAnsi="宋体"/>
                <w:color w:val="000000" w:themeColor="text1"/>
                <w:szCs w:val="21"/>
              </w:rPr>
              <w:t>一票否决指标</w:t>
            </w:r>
          </w:p>
        </w:tc>
        <w:tc>
          <w:tcPr>
            <w:tcW w:w="588" w:type="dxa"/>
            <w:vAlign w:val="center"/>
          </w:tcPr>
          <w:p>
            <w:pPr>
              <w:jc w:val="center"/>
              <w:rPr>
                <w:rFonts w:ascii="宋体" w:cs="宋体"/>
                <w:color w:val="000000" w:themeColor="text1"/>
                <w:szCs w:val="21"/>
              </w:rPr>
            </w:pPr>
            <w:r>
              <w:rPr>
                <w:rFonts w:ascii="宋体" w:hAnsi="宋体"/>
                <w:color w:val="000000" w:themeColor="text1"/>
                <w:szCs w:val="21"/>
              </w:rPr>
              <w:t>1</w:t>
            </w:r>
          </w:p>
        </w:tc>
        <w:tc>
          <w:tcPr>
            <w:tcW w:w="2945" w:type="dxa"/>
            <w:vAlign w:val="center"/>
          </w:tcPr>
          <w:p>
            <w:pPr>
              <w:rPr>
                <w:rFonts w:ascii="宋体"/>
                <w:color w:val="000000" w:themeColor="text1"/>
                <w:szCs w:val="21"/>
              </w:rPr>
            </w:pPr>
            <w:r>
              <w:rPr>
                <w:rFonts w:hint="eastAsia" w:ascii="宋体" w:hAnsi="宋体"/>
                <w:color w:val="000000" w:themeColor="text1"/>
                <w:szCs w:val="21"/>
              </w:rPr>
              <w:t>应持证经营</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一票否决</w:t>
            </w:r>
          </w:p>
        </w:tc>
        <w:tc>
          <w:tcPr>
            <w:tcW w:w="589" w:type="dxa"/>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vAlign w:val="center"/>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2</w:t>
            </w:r>
          </w:p>
        </w:tc>
        <w:tc>
          <w:tcPr>
            <w:tcW w:w="2945" w:type="dxa"/>
            <w:vAlign w:val="center"/>
          </w:tcPr>
          <w:p>
            <w:pPr>
              <w:rPr>
                <w:rFonts w:ascii="宋体"/>
                <w:color w:val="000000" w:themeColor="text1"/>
                <w:szCs w:val="21"/>
              </w:rPr>
            </w:pPr>
            <w:r>
              <w:rPr>
                <w:rFonts w:hint="eastAsia" w:ascii="宋体" w:hAnsi="宋体"/>
                <w:color w:val="000000" w:themeColor="text1"/>
                <w:szCs w:val="21"/>
              </w:rPr>
              <w:t>主要原材料应建立定点供货单位及采购品种备案制度，供货单位必须持有营业执照、卫生许可证、动植物检疫合格证等相关证件</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查看证件</w:t>
            </w:r>
          </w:p>
        </w:tc>
        <w:tc>
          <w:tcPr>
            <w:tcW w:w="2223" w:type="dxa"/>
            <w:vAlign w:val="center"/>
          </w:tcPr>
          <w:p>
            <w:pPr>
              <w:rPr>
                <w:rFonts w:ascii="宋体"/>
                <w:color w:val="000000" w:themeColor="text1"/>
                <w:szCs w:val="21"/>
              </w:rPr>
            </w:pPr>
            <w:r>
              <w:rPr>
                <w:rFonts w:hint="eastAsia" w:ascii="宋体" w:hAnsi="宋体"/>
                <w:color w:val="000000" w:themeColor="text1"/>
                <w:szCs w:val="21"/>
              </w:rPr>
              <w:t>一票否决</w:t>
            </w:r>
          </w:p>
        </w:tc>
        <w:tc>
          <w:tcPr>
            <w:tcW w:w="589" w:type="dxa"/>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restart"/>
            <w:vAlign w:val="center"/>
          </w:tcPr>
          <w:p>
            <w:pPr>
              <w:jc w:val="center"/>
              <w:rPr>
                <w:rFonts w:ascii="宋体"/>
                <w:color w:val="000000" w:themeColor="text1"/>
                <w:spacing w:val="30"/>
                <w:szCs w:val="21"/>
              </w:rPr>
            </w:pPr>
            <w:r>
              <w:rPr>
                <w:rFonts w:hint="eastAsia" w:ascii="宋体" w:hAnsi="宋体"/>
                <w:color w:val="000000" w:themeColor="text1"/>
                <w:szCs w:val="21"/>
              </w:rPr>
              <w:t>安全管理</w:t>
            </w:r>
          </w:p>
        </w:tc>
        <w:tc>
          <w:tcPr>
            <w:tcW w:w="588" w:type="dxa"/>
            <w:vAlign w:val="center"/>
          </w:tcPr>
          <w:p>
            <w:pPr>
              <w:jc w:val="center"/>
              <w:rPr>
                <w:rFonts w:ascii="宋体" w:cs="宋体"/>
                <w:color w:val="000000" w:themeColor="text1"/>
                <w:szCs w:val="21"/>
              </w:rPr>
            </w:pPr>
            <w:r>
              <w:rPr>
                <w:rFonts w:ascii="宋体" w:hAnsi="宋体"/>
                <w:color w:val="000000" w:themeColor="text1"/>
                <w:szCs w:val="21"/>
              </w:rPr>
              <w:t>3</w:t>
            </w:r>
          </w:p>
        </w:tc>
        <w:tc>
          <w:tcPr>
            <w:tcW w:w="2945" w:type="dxa"/>
            <w:vAlign w:val="center"/>
          </w:tcPr>
          <w:p>
            <w:pPr>
              <w:rPr>
                <w:rFonts w:ascii="宋体"/>
                <w:color w:val="000000" w:themeColor="text1"/>
                <w:szCs w:val="21"/>
              </w:rPr>
            </w:pPr>
            <w:r>
              <w:rPr>
                <w:rFonts w:hint="eastAsia" w:ascii="宋体" w:hAnsi="宋体"/>
                <w:color w:val="000000" w:themeColor="text1"/>
                <w:szCs w:val="21"/>
              </w:rPr>
              <w:t>应建有各岗位职责及工作流程制度</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查看制度</w:t>
            </w:r>
          </w:p>
        </w:tc>
        <w:tc>
          <w:tcPr>
            <w:tcW w:w="2223" w:type="dxa"/>
            <w:vAlign w:val="center"/>
          </w:tcPr>
          <w:p>
            <w:pPr>
              <w:rPr>
                <w:rFonts w:ascii="宋体"/>
                <w:color w:val="000000" w:themeColor="text1"/>
                <w:szCs w:val="21"/>
              </w:rPr>
            </w:pPr>
            <w:r>
              <w:rPr>
                <w:rFonts w:hint="eastAsia" w:ascii="宋体" w:hAnsi="宋体"/>
                <w:color w:val="000000" w:themeColor="text1"/>
                <w:szCs w:val="21"/>
              </w:rPr>
              <w:t>缺一项制度扣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restart"/>
            <w:vAlign w:val="center"/>
          </w:tcPr>
          <w:p>
            <w:pPr>
              <w:jc w:val="center"/>
              <w:rPr>
                <w:rFonts w:ascii="宋体" w:hAnsi="宋体"/>
                <w:color w:val="000000" w:themeColor="text1"/>
                <w:szCs w:val="21"/>
              </w:rPr>
            </w:pPr>
            <w:r>
              <w:rPr>
                <w:rFonts w:ascii="宋体" w:hAnsi="宋体"/>
                <w:color w:val="000000" w:themeColor="text1"/>
                <w:szCs w:val="21"/>
              </w:rPr>
              <w:t>30</w:t>
            </w:r>
          </w:p>
        </w:tc>
        <w:tc>
          <w:tcPr>
            <w:tcW w:w="597"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4</w:t>
            </w:r>
          </w:p>
        </w:tc>
        <w:tc>
          <w:tcPr>
            <w:tcW w:w="2945" w:type="dxa"/>
            <w:vAlign w:val="center"/>
          </w:tcPr>
          <w:p>
            <w:pPr>
              <w:rPr>
                <w:rFonts w:ascii="宋体"/>
                <w:color w:val="000000" w:themeColor="text1"/>
                <w:szCs w:val="21"/>
              </w:rPr>
            </w:pPr>
            <w:r>
              <w:rPr>
                <w:rFonts w:hint="eastAsia" w:ascii="宋体" w:hAnsi="宋体"/>
                <w:color w:val="000000" w:themeColor="text1"/>
                <w:szCs w:val="21"/>
              </w:rPr>
              <w:t>应建有卫生与安全责任制度和责任追究制度</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查看制度</w:t>
            </w:r>
          </w:p>
        </w:tc>
        <w:tc>
          <w:tcPr>
            <w:tcW w:w="2223" w:type="dxa"/>
            <w:vAlign w:val="center"/>
          </w:tcPr>
          <w:p>
            <w:pPr>
              <w:rPr>
                <w:rFonts w:ascii="宋体"/>
                <w:color w:val="000000" w:themeColor="text1"/>
                <w:szCs w:val="21"/>
              </w:rPr>
            </w:pPr>
            <w:r>
              <w:rPr>
                <w:rFonts w:hint="eastAsia" w:ascii="宋体" w:hAnsi="宋体"/>
                <w:color w:val="000000" w:themeColor="text1"/>
                <w:szCs w:val="21"/>
              </w:rPr>
              <w:t>缺一项制度扣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5</w:t>
            </w:r>
          </w:p>
        </w:tc>
        <w:tc>
          <w:tcPr>
            <w:tcW w:w="2945" w:type="dxa"/>
            <w:vAlign w:val="center"/>
          </w:tcPr>
          <w:p>
            <w:pPr>
              <w:rPr>
                <w:rFonts w:ascii="宋体"/>
                <w:color w:val="000000" w:themeColor="text1"/>
                <w:szCs w:val="21"/>
              </w:rPr>
            </w:pPr>
            <w:r>
              <w:rPr>
                <w:rFonts w:hint="eastAsia" w:ascii="宋体" w:hAnsi="宋体"/>
                <w:color w:val="000000" w:themeColor="text1"/>
                <w:szCs w:val="21"/>
              </w:rPr>
              <w:t>应建有预防食物中毒事故预案和电气、燃气、油锅着火应急处理机制及预案</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缺一项预案扣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6</w:t>
            </w:r>
          </w:p>
        </w:tc>
        <w:tc>
          <w:tcPr>
            <w:tcW w:w="2945" w:type="dxa"/>
            <w:vAlign w:val="center"/>
          </w:tcPr>
          <w:p>
            <w:pPr>
              <w:rPr>
                <w:rFonts w:ascii="宋体"/>
                <w:color w:val="000000" w:themeColor="text1"/>
                <w:szCs w:val="21"/>
              </w:rPr>
            </w:pPr>
            <w:r>
              <w:rPr>
                <w:rFonts w:hint="eastAsia" w:ascii="宋体" w:hAnsi="宋体"/>
                <w:color w:val="000000" w:themeColor="text1"/>
                <w:szCs w:val="21"/>
              </w:rPr>
              <w:t>从业人员应持有有效健康证</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缺证一人次扣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ind w:left="113" w:right="113"/>
              <w:jc w:val="center"/>
              <w:rPr>
                <w:rFonts w:ascii="宋体"/>
                <w:color w:val="000000" w:themeColor="text1"/>
                <w:spacing w:val="30"/>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7</w:t>
            </w:r>
          </w:p>
        </w:tc>
        <w:tc>
          <w:tcPr>
            <w:tcW w:w="2945" w:type="dxa"/>
            <w:vAlign w:val="center"/>
          </w:tcPr>
          <w:p>
            <w:pPr>
              <w:rPr>
                <w:rFonts w:ascii="宋体"/>
                <w:color w:val="000000" w:themeColor="text1"/>
                <w:szCs w:val="21"/>
              </w:rPr>
            </w:pPr>
            <w:r>
              <w:rPr>
                <w:rFonts w:hint="eastAsia" w:ascii="宋体" w:hAnsi="宋体"/>
                <w:color w:val="000000" w:themeColor="text1"/>
                <w:szCs w:val="21"/>
              </w:rPr>
              <w:t>食堂各项消防设施完是否好，检查记录情况</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设施损坏、无检查记录扣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8</w:t>
            </w:r>
          </w:p>
        </w:tc>
        <w:tc>
          <w:tcPr>
            <w:tcW w:w="2945" w:type="dxa"/>
            <w:vAlign w:val="center"/>
          </w:tcPr>
          <w:p>
            <w:pPr>
              <w:rPr>
                <w:rFonts w:ascii="宋体"/>
                <w:color w:val="000000" w:themeColor="text1"/>
                <w:szCs w:val="21"/>
              </w:rPr>
            </w:pPr>
            <w:r>
              <w:rPr>
                <w:rFonts w:hint="eastAsia" w:ascii="宋体" w:hAnsi="宋体"/>
                <w:color w:val="000000" w:themeColor="text1"/>
                <w:szCs w:val="21"/>
              </w:rPr>
              <w:t>员工培训组织情况</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查看记录</w:t>
            </w:r>
          </w:p>
        </w:tc>
        <w:tc>
          <w:tcPr>
            <w:tcW w:w="2223" w:type="dxa"/>
            <w:vAlign w:val="center"/>
          </w:tcPr>
          <w:p>
            <w:pPr>
              <w:rPr>
                <w:rFonts w:ascii="宋体"/>
                <w:color w:val="000000" w:themeColor="text1"/>
                <w:szCs w:val="21"/>
              </w:rPr>
            </w:pPr>
            <w:r>
              <w:rPr>
                <w:rFonts w:hint="eastAsia" w:ascii="宋体" w:hAnsi="宋体"/>
                <w:color w:val="000000" w:themeColor="text1"/>
                <w:szCs w:val="21"/>
              </w:rPr>
              <w:t>无培训记录扣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9</w:t>
            </w:r>
          </w:p>
        </w:tc>
        <w:tc>
          <w:tcPr>
            <w:tcW w:w="2945" w:type="dxa"/>
            <w:vAlign w:val="center"/>
          </w:tcPr>
          <w:p>
            <w:pPr>
              <w:rPr>
                <w:rFonts w:ascii="宋体"/>
                <w:color w:val="000000" w:themeColor="text1"/>
                <w:szCs w:val="21"/>
              </w:rPr>
            </w:pPr>
            <w:r>
              <w:rPr>
                <w:rFonts w:hint="eastAsia" w:ascii="宋体" w:hAnsi="宋体"/>
                <w:color w:val="000000" w:themeColor="text1"/>
                <w:szCs w:val="21"/>
              </w:rPr>
              <w:t>应在就餐区醒目位置张贴安全提示标识</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未张贴标识扣</w:t>
            </w:r>
            <w:r>
              <w:rPr>
                <w:rFonts w:ascii="宋体" w:hAnsi="宋体"/>
                <w:color w:val="000000" w:themeColor="text1"/>
                <w:szCs w:val="21"/>
              </w:rPr>
              <w:t>0.5-2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restart"/>
            <w:vAlign w:val="center"/>
          </w:tcPr>
          <w:p>
            <w:pPr>
              <w:jc w:val="center"/>
              <w:rPr>
                <w:rFonts w:ascii="宋体"/>
                <w:color w:val="000000" w:themeColor="text1"/>
                <w:szCs w:val="21"/>
              </w:rPr>
            </w:pPr>
            <w:r>
              <w:rPr>
                <w:rFonts w:hint="eastAsia" w:ascii="宋体" w:hAnsi="宋体"/>
                <w:color w:val="000000" w:themeColor="text1"/>
                <w:szCs w:val="21"/>
              </w:rPr>
              <w:t>存储</w:t>
            </w:r>
          </w:p>
        </w:tc>
        <w:tc>
          <w:tcPr>
            <w:tcW w:w="588" w:type="dxa"/>
            <w:vAlign w:val="center"/>
          </w:tcPr>
          <w:p>
            <w:pPr>
              <w:jc w:val="center"/>
              <w:rPr>
                <w:rFonts w:ascii="宋体" w:cs="宋体"/>
                <w:color w:val="000000" w:themeColor="text1"/>
                <w:szCs w:val="21"/>
              </w:rPr>
            </w:pPr>
            <w:r>
              <w:rPr>
                <w:rFonts w:ascii="宋体" w:hAnsi="宋体"/>
                <w:color w:val="000000" w:themeColor="text1"/>
                <w:szCs w:val="21"/>
              </w:rPr>
              <w:t>10</w:t>
            </w:r>
          </w:p>
        </w:tc>
        <w:tc>
          <w:tcPr>
            <w:tcW w:w="2945" w:type="dxa"/>
            <w:vAlign w:val="center"/>
          </w:tcPr>
          <w:p>
            <w:pPr>
              <w:rPr>
                <w:rFonts w:ascii="宋体"/>
                <w:color w:val="000000" w:themeColor="text1"/>
                <w:szCs w:val="21"/>
              </w:rPr>
            </w:pPr>
            <w:r>
              <w:rPr>
                <w:rFonts w:hint="eastAsia" w:ascii="宋体" w:hAnsi="宋体"/>
                <w:color w:val="000000" w:themeColor="text1"/>
                <w:szCs w:val="21"/>
              </w:rPr>
              <w:t>食品贮藏应做到原料、半成品、成品严格分开，做到生、熟分开，植物性食品、动物性食品和水产品分类摆放，冷藏柜</w:t>
            </w:r>
            <w:r>
              <w:rPr>
                <w:rFonts w:ascii="宋体" w:hAnsi="宋体"/>
                <w:color w:val="000000" w:themeColor="text1"/>
                <w:szCs w:val="21"/>
              </w:rPr>
              <w:t>(</w:t>
            </w:r>
            <w:r>
              <w:rPr>
                <w:rFonts w:hint="eastAsia" w:ascii="宋体" w:hAnsi="宋体"/>
                <w:color w:val="000000" w:themeColor="text1"/>
                <w:szCs w:val="21"/>
              </w:rPr>
              <w:t>库</w:t>
            </w:r>
            <w:r>
              <w:rPr>
                <w:rFonts w:ascii="宋体" w:hAnsi="宋体"/>
                <w:color w:val="000000" w:themeColor="text1"/>
                <w:szCs w:val="21"/>
              </w:rPr>
              <w:t>)</w:t>
            </w:r>
            <w:r>
              <w:rPr>
                <w:rFonts w:hint="eastAsia" w:ascii="宋体" w:hAnsi="宋体"/>
                <w:color w:val="000000" w:themeColor="text1"/>
                <w:szCs w:val="21"/>
              </w:rPr>
              <w:t>存放食品有标志</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不符合要求每次扣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restart"/>
            <w:vAlign w:val="center"/>
          </w:tcPr>
          <w:p>
            <w:pPr>
              <w:jc w:val="center"/>
              <w:rPr>
                <w:rFonts w:ascii="宋体" w:hAnsi="宋体"/>
                <w:color w:val="000000" w:themeColor="text1"/>
                <w:szCs w:val="21"/>
              </w:rPr>
            </w:pPr>
            <w:r>
              <w:rPr>
                <w:rFonts w:ascii="宋体" w:hAnsi="宋体"/>
                <w:color w:val="000000" w:themeColor="text1"/>
                <w:szCs w:val="21"/>
              </w:rPr>
              <w:t>20</w:t>
            </w:r>
          </w:p>
        </w:tc>
        <w:tc>
          <w:tcPr>
            <w:tcW w:w="597"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621" w:type="dxa"/>
            <w:vMerge w:val="continue"/>
          </w:tcPr>
          <w:p>
            <w:pPr>
              <w:ind w:left="113" w:right="113"/>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11</w:t>
            </w:r>
          </w:p>
        </w:tc>
        <w:tc>
          <w:tcPr>
            <w:tcW w:w="2945" w:type="dxa"/>
            <w:vAlign w:val="center"/>
          </w:tcPr>
          <w:p>
            <w:pPr>
              <w:rPr>
                <w:rFonts w:ascii="宋体"/>
                <w:color w:val="000000" w:themeColor="text1"/>
                <w:szCs w:val="21"/>
              </w:rPr>
            </w:pPr>
            <w:r>
              <w:rPr>
                <w:rFonts w:hint="eastAsia" w:ascii="宋体" w:hAnsi="宋体"/>
                <w:color w:val="000000" w:themeColor="text1"/>
                <w:szCs w:val="21"/>
              </w:rPr>
              <w:t>仓库管理规范，物资分类存放，食品库无过期、变质及非食品物资</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不符合要求每次扣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restart"/>
            <w:vAlign w:val="center"/>
          </w:tcPr>
          <w:p>
            <w:pPr>
              <w:jc w:val="center"/>
              <w:rPr>
                <w:rFonts w:ascii="宋体"/>
                <w:color w:val="000000" w:themeColor="text1"/>
                <w:szCs w:val="21"/>
              </w:rPr>
            </w:pPr>
            <w:r>
              <w:rPr>
                <w:rFonts w:hint="eastAsia" w:ascii="宋体" w:hAnsi="宋体"/>
                <w:color w:val="000000" w:themeColor="text1"/>
                <w:szCs w:val="21"/>
              </w:rPr>
              <w:t>加工</w:t>
            </w:r>
          </w:p>
        </w:tc>
        <w:tc>
          <w:tcPr>
            <w:tcW w:w="588" w:type="dxa"/>
            <w:vAlign w:val="center"/>
          </w:tcPr>
          <w:p>
            <w:pPr>
              <w:jc w:val="center"/>
              <w:rPr>
                <w:rFonts w:ascii="宋体" w:cs="宋体"/>
                <w:color w:val="000000" w:themeColor="text1"/>
                <w:szCs w:val="21"/>
              </w:rPr>
            </w:pPr>
            <w:r>
              <w:rPr>
                <w:rFonts w:ascii="宋体" w:hAnsi="宋体"/>
                <w:color w:val="000000" w:themeColor="text1"/>
                <w:szCs w:val="21"/>
              </w:rPr>
              <w:t>12</w:t>
            </w:r>
          </w:p>
        </w:tc>
        <w:tc>
          <w:tcPr>
            <w:tcW w:w="2945" w:type="dxa"/>
            <w:vAlign w:val="center"/>
          </w:tcPr>
          <w:p>
            <w:pPr>
              <w:rPr>
                <w:rFonts w:ascii="宋体"/>
                <w:color w:val="000000" w:themeColor="text1"/>
                <w:szCs w:val="21"/>
              </w:rPr>
            </w:pPr>
            <w:r>
              <w:rPr>
                <w:rFonts w:hint="eastAsia" w:ascii="宋体" w:hAnsi="宋体"/>
                <w:color w:val="000000" w:themeColor="text1"/>
                <w:szCs w:val="21"/>
              </w:rPr>
              <w:t>凉菜应由专间、专人和专用设施设备加工，凉菜间应安装空调</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不符合要求的每项每次扣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restart"/>
            <w:vAlign w:val="center"/>
          </w:tcPr>
          <w:p>
            <w:pPr>
              <w:jc w:val="center"/>
              <w:rPr>
                <w:rFonts w:ascii="宋体" w:hAnsi="宋体"/>
                <w:color w:val="000000" w:themeColor="text1"/>
                <w:szCs w:val="21"/>
              </w:rPr>
            </w:pPr>
            <w:r>
              <w:rPr>
                <w:rFonts w:ascii="宋体" w:hAnsi="宋体"/>
                <w:color w:val="000000" w:themeColor="text1"/>
                <w:szCs w:val="21"/>
              </w:rPr>
              <w:t>15</w:t>
            </w:r>
          </w:p>
        </w:tc>
        <w:tc>
          <w:tcPr>
            <w:tcW w:w="597"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13</w:t>
            </w:r>
          </w:p>
        </w:tc>
        <w:tc>
          <w:tcPr>
            <w:tcW w:w="2945" w:type="dxa"/>
            <w:vAlign w:val="center"/>
          </w:tcPr>
          <w:p>
            <w:pPr>
              <w:rPr>
                <w:rFonts w:ascii="宋体"/>
                <w:color w:val="000000" w:themeColor="text1"/>
                <w:szCs w:val="21"/>
              </w:rPr>
            </w:pPr>
            <w:r>
              <w:rPr>
                <w:rFonts w:hint="eastAsia" w:ascii="宋体" w:hAnsi="宋体"/>
                <w:color w:val="000000" w:themeColor="text1"/>
                <w:szCs w:val="21"/>
              </w:rPr>
              <w:t>加工生、熟、荤、素食品应做到用具分开、整洁、严格消毒、摆放整齐</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14</w:t>
            </w:r>
          </w:p>
        </w:tc>
        <w:tc>
          <w:tcPr>
            <w:tcW w:w="2945" w:type="dxa"/>
            <w:vAlign w:val="center"/>
          </w:tcPr>
          <w:p>
            <w:pPr>
              <w:rPr>
                <w:rFonts w:ascii="宋体"/>
                <w:color w:val="000000" w:themeColor="text1"/>
                <w:szCs w:val="21"/>
              </w:rPr>
            </w:pPr>
            <w:r>
              <w:rPr>
                <w:rFonts w:hint="eastAsia" w:ascii="宋体" w:hAnsi="宋体"/>
                <w:color w:val="000000" w:themeColor="text1"/>
                <w:szCs w:val="21"/>
              </w:rPr>
              <w:t>餐饮具使用前应规范消毒</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不符合要求的每次扣</w:t>
            </w:r>
            <w:r>
              <w:rPr>
                <w:rFonts w:ascii="宋体" w:hAnsi="宋体"/>
                <w:color w:val="000000" w:themeColor="text1"/>
                <w:szCs w:val="21"/>
              </w:rPr>
              <w:t>5</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15</w:t>
            </w:r>
          </w:p>
        </w:tc>
        <w:tc>
          <w:tcPr>
            <w:tcW w:w="2945" w:type="dxa"/>
            <w:vAlign w:val="center"/>
          </w:tcPr>
          <w:p>
            <w:pPr>
              <w:rPr>
                <w:rFonts w:ascii="宋体"/>
                <w:color w:val="000000" w:themeColor="text1"/>
                <w:szCs w:val="21"/>
              </w:rPr>
            </w:pPr>
            <w:r>
              <w:rPr>
                <w:rFonts w:hint="eastAsia" w:ascii="宋体" w:hAnsi="宋体"/>
                <w:color w:val="000000" w:themeColor="text1"/>
                <w:szCs w:val="21"/>
              </w:rPr>
              <w:t>从业人员应养成良好卫生习惯，工作场所不吸烟，不随地吐痰，不戴首饰上岗，长发不外露</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不符合要求的每人次扣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16</w:t>
            </w:r>
          </w:p>
        </w:tc>
        <w:tc>
          <w:tcPr>
            <w:tcW w:w="2945" w:type="dxa"/>
            <w:vAlign w:val="center"/>
          </w:tcPr>
          <w:p>
            <w:pPr>
              <w:rPr>
                <w:rFonts w:ascii="宋体"/>
                <w:color w:val="000000" w:themeColor="text1"/>
                <w:szCs w:val="21"/>
              </w:rPr>
            </w:pPr>
            <w:r>
              <w:rPr>
                <w:rFonts w:hint="eastAsia" w:ascii="宋体" w:hAnsi="宋体"/>
                <w:color w:val="000000" w:themeColor="text1"/>
                <w:szCs w:val="21"/>
              </w:rPr>
              <w:t>按规定进行菜品留样并作好记录</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17</w:t>
            </w:r>
          </w:p>
        </w:tc>
        <w:tc>
          <w:tcPr>
            <w:tcW w:w="2945" w:type="dxa"/>
            <w:vAlign w:val="center"/>
          </w:tcPr>
          <w:p>
            <w:pPr>
              <w:rPr>
                <w:rFonts w:ascii="宋体"/>
                <w:color w:val="000000" w:themeColor="text1"/>
                <w:szCs w:val="21"/>
              </w:rPr>
            </w:pPr>
            <w:r>
              <w:rPr>
                <w:rFonts w:hint="eastAsia" w:ascii="宋体" w:hAnsi="宋体"/>
                <w:color w:val="000000" w:themeColor="text1"/>
                <w:szCs w:val="21"/>
              </w:rPr>
              <w:t>食堂应有防鼠、防蚊蝇、防蟑螂及防尘措施并做到定期消毒</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restart"/>
            <w:vAlign w:val="center"/>
          </w:tcPr>
          <w:p>
            <w:pPr>
              <w:jc w:val="center"/>
              <w:rPr>
                <w:rFonts w:ascii="宋体"/>
                <w:color w:val="000000" w:themeColor="text1"/>
                <w:szCs w:val="21"/>
              </w:rPr>
            </w:pPr>
            <w:r>
              <w:rPr>
                <w:rFonts w:hint="eastAsia" w:ascii="宋体" w:hAnsi="宋体"/>
                <w:color w:val="000000" w:themeColor="text1"/>
                <w:szCs w:val="21"/>
              </w:rPr>
              <w:t>出售</w:t>
            </w:r>
          </w:p>
        </w:tc>
        <w:tc>
          <w:tcPr>
            <w:tcW w:w="588" w:type="dxa"/>
            <w:vAlign w:val="center"/>
          </w:tcPr>
          <w:p>
            <w:pPr>
              <w:jc w:val="center"/>
              <w:rPr>
                <w:rFonts w:ascii="宋体" w:cs="宋体"/>
                <w:color w:val="000000" w:themeColor="text1"/>
                <w:szCs w:val="21"/>
              </w:rPr>
            </w:pPr>
            <w:r>
              <w:rPr>
                <w:rFonts w:ascii="宋体" w:hAnsi="宋体"/>
                <w:color w:val="000000" w:themeColor="text1"/>
                <w:szCs w:val="21"/>
              </w:rPr>
              <w:t>18</w:t>
            </w:r>
          </w:p>
        </w:tc>
        <w:tc>
          <w:tcPr>
            <w:tcW w:w="2945" w:type="dxa"/>
            <w:vAlign w:val="center"/>
          </w:tcPr>
          <w:p>
            <w:pPr>
              <w:rPr>
                <w:rFonts w:ascii="宋体"/>
                <w:color w:val="000000" w:themeColor="text1"/>
                <w:szCs w:val="21"/>
              </w:rPr>
            </w:pPr>
            <w:r>
              <w:rPr>
                <w:rFonts w:hint="eastAsia" w:ascii="宋体" w:hAnsi="宋体"/>
                <w:color w:val="000000" w:themeColor="text1"/>
                <w:szCs w:val="21"/>
              </w:rPr>
              <w:t>主要饭菜类应明码实价，菜牌齐全</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不符合要求的每项扣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restart"/>
            <w:vAlign w:val="center"/>
          </w:tcPr>
          <w:p>
            <w:pPr>
              <w:jc w:val="center"/>
              <w:rPr>
                <w:rFonts w:ascii="宋体" w:hAnsi="宋体"/>
                <w:color w:val="000000" w:themeColor="text1"/>
                <w:szCs w:val="21"/>
              </w:rPr>
            </w:pPr>
            <w:r>
              <w:rPr>
                <w:rFonts w:ascii="宋体" w:hAnsi="宋体"/>
                <w:color w:val="000000" w:themeColor="text1"/>
                <w:szCs w:val="21"/>
              </w:rPr>
              <w:t>15</w:t>
            </w:r>
          </w:p>
        </w:tc>
        <w:tc>
          <w:tcPr>
            <w:tcW w:w="597"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19</w:t>
            </w:r>
          </w:p>
        </w:tc>
        <w:tc>
          <w:tcPr>
            <w:tcW w:w="2945" w:type="dxa"/>
            <w:vAlign w:val="center"/>
          </w:tcPr>
          <w:p>
            <w:pPr>
              <w:rPr>
                <w:rFonts w:ascii="宋体"/>
                <w:color w:val="000000" w:themeColor="text1"/>
                <w:szCs w:val="21"/>
              </w:rPr>
            </w:pPr>
            <w:r>
              <w:rPr>
                <w:rFonts w:hint="eastAsia" w:ascii="宋体" w:hAnsi="宋体"/>
                <w:color w:val="000000" w:themeColor="text1"/>
                <w:szCs w:val="21"/>
              </w:rPr>
              <w:t>餐厅内外、厨房、操作间、库房等场所应保持整洁</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不符合要求的每项扣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20</w:t>
            </w:r>
          </w:p>
        </w:tc>
        <w:tc>
          <w:tcPr>
            <w:tcW w:w="2945" w:type="dxa"/>
            <w:vAlign w:val="center"/>
          </w:tcPr>
          <w:p>
            <w:pPr>
              <w:rPr>
                <w:rFonts w:ascii="宋体"/>
                <w:color w:val="000000" w:themeColor="text1"/>
                <w:szCs w:val="21"/>
              </w:rPr>
            </w:pPr>
            <w:r>
              <w:rPr>
                <w:rFonts w:hint="eastAsia" w:ascii="宋体" w:hAnsi="宋体"/>
                <w:color w:val="000000" w:themeColor="text1"/>
                <w:szCs w:val="21"/>
              </w:rPr>
              <w:t>食堂内外应设置带盖的垃圾桶，并及时处置垃圾</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不符合要求的每项扣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restart"/>
            <w:vAlign w:val="center"/>
          </w:tcPr>
          <w:p>
            <w:pPr>
              <w:jc w:val="center"/>
              <w:rPr>
                <w:rFonts w:ascii="宋体"/>
                <w:color w:val="000000" w:themeColor="text1"/>
                <w:szCs w:val="21"/>
              </w:rPr>
            </w:pPr>
            <w:r>
              <w:rPr>
                <w:rFonts w:hint="eastAsia" w:ascii="宋体" w:hAnsi="宋体"/>
                <w:color w:val="000000" w:themeColor="text1"/>
                <w:szCs w:val="21"/>
              </w:rPr>
              <w:t>服务质量</w:t>
            </w:r>
          </w:p>
        </w:tc>
        <w:tc>
          <w:tcPr>
            <w:tcW w:w="588" w:type="dxa"/>
            <w:vAlign w:val="center"/>
          </w:tcPr>
          <w:p>
            <w:pPr>
              <w:jc w:val="center"/>
              <w:rPr>
                <w:rFonts w:ascii="宋体" w:cs="宋体"/>
                <w:color w:val="000000" w:themeColor="text1"/>
                <w:szCs w:val="21"/>
              </w:rPr>
            </w:pPr>
            <w:r>
              <w:rPr>
                <w:rFonts w:ascii="宋体" w:hAnsi="宋体"/>
                <w:color w:val="000000" w:themeColor="text1"/>
                <w:szCs w:val="21"/>
              </w:rPr>
              <w:t>21</w:t>
            </w:r>
          </w:p>
        </w:tc>
        <w:tc>
          <w:tcPr>
            <w:tcW w:w="2945" w:type="dxa"/>
            <w:vAlign w:val="center"/>
          </w:tcPr>
          <w:p>
            <w:pPr>
              <w:rPr>
                <w:rFonts w:ascii="宋体" w:cs="宋体"/>
                <w:color w:val="000000" w:themeColor="text1"/>
                <w:szCs w:val="21"/>
              </w:rPr>
            </w:pPr>
            <w:r>
              <w:rPr>
                <w:rFonts w:hint="eastAsia" w:ascii="宋体" w:hAnsi="宋体"/>
                <w:color w:val="000000" w:themeColor="text1"/>
                <w:szCs w:val="21"/>
              </w:rPr>
              <w:t>应统一着装，仪表端庄，挂牌、戴口罩上岗</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不符合要求每人次扣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restart"/>
            <w:vAlign w:val="center"/>
          </w:tcPr>
          <w:p>
            <w:pPr>
              <w:jc w:val="center"/>
              <w:rPr>
                <w:rFonts w:ascii="宋体" w:hAnsi="宋体"/>
                <w:color w:val="000000" w:themeColor="text1"/>
                <w:szCs w:val="21"/>
              </w:rPr>
            </w:pPr>
            <w:r>
              <w:rPr>
                <w:rFonts w:ascii="宋体" w:hAnsi="宋体"/>
                <w:color w:val="000000" w:themeColor="text1"/>
                <w:szCs w:val="21"/>
              </w:rPr>
              <w:t>20</w:t>
            </w:r>
          </w:p>
        </w:tc>
        <w:tc>
          <w:tcPr>
            <w:tcW w:w="597" w:type="dxa"/>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cs="宋体"/>
                <w:color w:val="000000" w:themeColor="text1"/>
                <w:szCs w:val="21"/>
              </w:rPr>
            </w:pPr>
            <w:r>
              <w:rPr>
                <w:rFonts w:ascii="宋体" w:hAnsi="宋体"/>
                <w:color w:val="000000" w:themeColor="text1"/>
                <w:szCs w:val="21"/>
              </w:rPr>
              <w:t>22</w:t>
            </w:r>
          </w:p>
        </w:tc>
        <w:tc>
          <w:tcPr>
            <w:tcW w:w="2945" w:type="dxa"/>
            <w:vAlign w:val="center"/>
          </w:tcPr>
          <w:p>
            <w:pPr>
              <w:rPr>
                <w:rFonts w:ascii="宋体" w:cs="宋体"/>
                <w:color w:val="000000" w:themeColor="text1"/>
                <w:szCs w:val="21"/>
              </w:rPr>
            </w:pPr>
            <w:r>
              <w:rPr>
                <w:rFonts w:hint="eastAsia" w:ascii="宋体" w:hAnsi="宋体"/>
                <w:color w:val="000000" w:themeColor="text1"/>
                <w:szCs w:val="21"/>
              </w:rPr>
              <w:t>应做到服务及操作程序规范，态度端正，主动热情，文明用语，不和学生发生争吵及正面冲突</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每次扣</w:t>
            </w:r>
            <w:r>
              <w:rPr>
                <w:rFonts w:ascii="宋体" w:hAnsi="宋体"/>
                <w:color w:val="000000" w:themeColor="text1"/>
                <w:szCs w:val="21"/>
              </w:rPr>
              <w:t>2</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621" w:type="dxa"/>
            <w:vMerge w:val="continue"/>
          </w:tcPr>
          <w:p>
            <w:pPr>
              <w:jc w:val="center"/>
              <w:rPr>
                <w:rFonts w:ascii="宋体"/>
                <w:color w:val="000000" w:themeColor="text1"/>
                <w:szCs w:val="21"/>
              </w:rPr>
            </w:pPr>
          </w:p>
        </w:tc>
        <w:tc>
          <w:tcPr>
            <w:tcW w:w="588" w:type="dxa"/>
            <w:vAlign w:val="center"/>
          </w:tcPr>
          <w:p>
            <w:pPr>
              <w:jc w:val="center"/>
              <w:rPr>
                <w:rFonts w:ascii="宋体" w:hAnsi="宋体"/>
                <w:color w:val="000000" w:themeColor="text1"/>
                <w:szCs w:val="21"/>
              </w:rPr>
            </w:pPr>
            <w:r>
              <w:rPr>
                <w:rFonts w:ascii="宋体" w:hAnsi="宋体"/>
                <w:color w:val="000000" w:themeColor="text1"/>
                <w:szCs w:val="21"/>
              </w:rPr>
              <w:t>23</w:t>
            </w:r>
          </w:p>
        </w:tc>
        <w:tc>
          <w:tcPr>
            <w:tcW w:w="2945" w:type="dxa"/>
            <w:vAlign w:val="center"/>
          </w:tcPr>
          <w:p>
            <w:pPr>
              <w:rPr>
                <w:rFonts w:ascii="宋体" w:cs="宋体"/>
                <w:color w:val="000000" w:themeColor="text1"/>
                <w:szCs w:val="21"/>
              </w:rPr>
            </w:pPr>
            <w:r>
              <w:rPr>
                <w:rFonts w:hint="eastAsia" w:ascii="宋体" w:hAnsi="宋体"/>
                <w:color w:val="000000" w:themeColor="text1"/>
                <w:szCs w:val="21"/>
              </w:rPr>
              <w:t>应及时处理就餐者投诉意见、建议，过程有记录</w:t>
            </w:r>
          </w:p>
        </w:tc>
        <w:tc>
          <w:tcPr>
            <w:tcW w:w="774" w:type="dxa"/>
            <w:vAlign w:val="center"/>
          </w:tcPr>
          <w:p>
            <w:pPr>
              <w:jc w:val="center"/>
              <w:rPr>
                <w:rFonts w:ascii="宋体"/>
                <w:color w:val="000000" w:themeColor="text1"/>
                <w:szCs w:val="21"/>
              </w:rPr>
            </w:pPr>
            <w:r>
              <w:rPr>
                <w:rFonts w:hint="eastAsia" w:ascii="宋体" w:hAnsi="宋体"/>
                <w:color w:val="000000" w:themeColor="text1"/>
                <w:szCs w:val="21"/>
              </w:rPr>
              <w:t>现场检查</w:t>
            </w:r>
          </w:p>
        </w:tc>
        <w:tc>
          <w:tcPr>
            <w:tcW w:w="2223" w:type="dxa"/>
            <w:vAlign w:val="center"/>
          </w:tcPr>
          <w:p>
            <w:pPr>
              <w:rPr>
                <w:rFonts w:ascii="宋体"/>
                <w:color w:val="000000" w:themeColor="text1"/>
                <w:szCs w:val="21"/>
              </w:rPr>
            </w:pPr>
            <w:r>
              <w:rPr>
                <w:rFonts w:hint="eastAsia" w:ascii="宋体" w:hAnsi="宋体"/>
                <w:color w:val="000000" w:themeColor="text1"/>
                <w:szCs w:val="21"/>
              </w:rPr>
              <w:t>未处理投诉每次每件扣</w:t>
            </w:r>
            <w:r>
              <w:rPr>
                <w:rFonts w:ascii="宋体" w:hAnsi="宋体"/>
                <w:color w:val="000000" w:themeColor="text1"/>
                <w:szCs w:val="21"/>
              </w:rPr>
              <w:t>0.5</w:t>
            </w:r>
            <w:r>
              <w:rPr>
                <w:rFonts w:hint="eastAsia" w:ascii="宋体" w:hAnsi="宋体"/>
                <w:color w:val="000000" w:themeColor="text1"/>
                <w:szCs w:val="21"/>
              </w:rPr>
              <w:t>分</w:t>
            </w:r>
          </w:p>
        </w:tc>
        <w:tc>
          <w:tcPr>
            <w:tcW w:w="589" w:type="dxa"/>
            <w:vMerge w:val="continue"/>
            <w:vAlign w:val="center"/>
          </w:tcPr>
          <w:p>
            <w:pPr>
              <w:jc w:val="center"/>
              <w:rPr>
                <w:rFonts w:ascii="宋体"/>
                <w:color w:val="000000" w:themeColor="text1"/>
                <w:szCs w:val="21"/>
              </w:rPr>
            </w:pPr>
          </w:p>
        </w:tc>
        <w:tc>
          <w:tcPr>
            <w:tcW w:w="597" w:type="dxa"/>
            <w:vAlign w:val="center"/>
          </w:tcPr>
          <w:p>
            <w:pPr>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209" w:type="dxa"/>
            <w:gridSpan w:val="2"/>
            <w:vAlign w:val="center"/>
          </w:tcPr>
          <w:p>
            <w:pPr>
              <w:jc w:val="center"/>
              <w:rPr>
                <w:rFonts w:ascii="宋体"/>
                <w:color w:val="000000" w:themeColor="text1"/>
                <w:szCs w:val="21"/>
              </w:rPr>
            </w:pPr>
            <w:r>
              <w:rPr>
                <w:rFonts w:hint="eastAsia" w:ascii="宋体" w:hAnsi="宋体"/>
                <w:color w:val="000000" w:themeColor="text1"/>
                <w:szCs w:val="21"/>
              </w:rPr>
              <w:t>实际得分</w:t>
            </w:r>
          </w:p>
        </w:tc>
        <w:tc>
          <w:tcPr>
            <w:tcW w:w="7128" w:type="dxa"/>
            <w:gridSpan w:val="5"/>
            <w:vAlign w:val="center"/>
          </w:tcPr>
          <w:p>
            <w:pPr>
              <w:jc w:val="center"/>
              <w:rPr>
                <w:rFonts w:ascii="宋体"/>
                <w:color w:val="000000" w:themeColor="text1"/>
                <w:szCs w:val="21"/>
              </w:rPr>
            </w:pPr>
          </w:p>
        </w:tc>
      </w:tr>
    </w:tbl>
    <w:p>
      <w:pPr>
        <w:rPr>
          <w:rFonts w:ascii="宋体"/>
          <w:color w:val="000000" w:themeColor="text1"/>
          <w:szCs w:val="21"/>
        </w:rPr>
      </w:pPr>
      <w:r>
        <w:rPr>
          <w:rFonts w:hint="eastAsia" w:ascii="宋体" w:hAnsi="宋体"/>
          <w:color w:val="000000" w:themeColor="text1"/>
          <w:szCs w:val="21"/>
        </w:rPr>
        <w:t>备注：总分</w:t>
      </w:r>
      <w:r>
        <w:rPr>
          <w:rFonts w:ascii="宋体" w:hAnsi="宋体"/>
          <w:color w:val="000000" w:themeColor="text1"/>
          <w:szCs w:val="21"/>
        </w:rPr>
        <w:t>100</w:t>
      </w:r>
      <w:r>
        <w:rPr>
          <w:rFonts w:hint="eastAsia" w:ascii="宋体" w:hAnsi="宋体"/>
          <w:color w:val="000000" w:themeColor="text1"/>
          <w:szCs w:val="21"/>
        </w:rPr>
        <w:t>分，各单项分若不够扣，从总分中扣除。</w:t>
      </w:r>
    </w:p>
    <w:p>
      <w:pPr>
        <w:spacing w:line="500" w:lineRule="exact"/>
        <w:rPr>
          <w:rFonts w:ascii="宋体"/>
          <w:color w:val="000000" w:themeColor="text1"/>
          <w:szCs w:val="21"/>
        </w:rPr>
      </w:pPr>
    </w:p>
    <w:p>
      <w:pPr>
        <w:spacing w:line="500" w:lineRule="exact"/>
        <w:rPr>
          <w:rFonts w:ascii="宋体"/>
          <w:color w:val="000000" w:themeColor="text1"/>
          <w:sz w:val="24"/>
          <w:szCs w:val="24"/>
        </w:rPr>
      </w:pPr>
    </w:p>
    <w:p>
      <w:pPr>
        <w:spacing w:line="500" w:lineRule="exact"/>
        <w:rPr>
          <w:rFonts w:ascii="宋体"/>
          <w:color w:val="000000" w:themeColor="text1"/>
          <w:sz w:val="24"/>
          <w:szCs w:val="24"/>
        </w:rPr>
      </w:pPr>
    </w:p>
    <w:p>
      <w:pPr>
        <w:spacing w:line="500" w:lineRule="exact"/>
        <w:rPr>
          <w:rFonts w:ascii="宋体"/>
          <w:color w:val="000000" w:themeColor="text1"/>
          <w:sz w:val="24"/>
          <w:szCs w:val="24"/>
        </w:rPr>
      </w:pPr>
    </w:p>
    <w:p>
      <w:pPr>
        <w:spacing w:line="500" w:lineRule="exact"/>
        <w:rPr>
          <w:rFonts w:ascii="宋体"/>
          <w:color w:val="000000" w:themeColor="text1"/>
          <w:sz w:val="24"/>
          <w:szCs w:val="24"/>
        </w:rPr>
      </w:pPr>
    </w:p>
    <w:p>
      <w:pPr>
        <w:spacing w:line="500" w:lineRule="exact"/>
        <w:rPr>
          <w:rFonts w:ascii="宋体"/>
          <w:color w:val="000000" w:themeColor="text1"/>
          <w:sz w:val="24"/>
          <w:szCs w:val="24"/>
        </w:rPr>
      </w:pPr>
    </w:p>
    <w:p>
      <w:pPr>
        <w:spacing w:line="500" w:lineRule="exact"/>
        <w:rPr>
          <w:rFonts w:ascii="宋体"/>
          <w:color w:val="000000" w:themeColor="text1"/>
          <w:sz w:val="24"/>
          <w:szCs w:val="24"/>
        </w:rPr>
      </w:pPr>
    </w:p>
    <w:p>
      <w:pPr>
        <w:spacing w:line="500" w:lineRule="exact"/>
        <w:rPr>
          <w:rFonts w:ascii="宋体"/>
          <w:bCs/>
          <w:color w:val="000000" w:themeColor="text1"/>
          <w:kern w:val="0"/>
          <w:szCs w:val="21"/>
        </w:rPr>
      </w:pPr>
    </w:p>
    <w:p>
      <w:pPr>
        <w:keepNext/>
        <w:keepLines/>
        <w:pageBreakBefore/>
        <w:spacing w:before="260" w:after="260" w:line="416" w:lineRule="auto"/>
        <w:outlineLvl w:val="1"/>
        <w:rPr>
          <w:rFonts w:ascii="宋体" w:hAnsi="宋体"/>
          <w:b/>
          <w:bCs/>
          <w:color w:val="000000" w:themeColor="text1"/>
          <w:kern w:val="0"/>
          <w:sz w:val="24"/>
          <w:szCs w:val="24"/>
        </w:rPr>
      </w:pPr>
      <w:bookmarkStart w:id="83" w:name="_Toc1742"/>
      <w:r>
        <w:rPr>
          <w:rFonts w:hint="eastAsia" w:ascii="宋体" w:hAnsi="宋体"/>
          <w:b/>
          <w:bCs/>
          <w:color w:val="000000" w:themeColor="text1"/>
          <w:kern w:val="0"/>
          <w:sz w:val="24"/>
          <w:szCs w:val="24"/>
        </w:rPr>
        <w:t>附件四  乙方使用甲方食堂原有设施设备清单</w:t>
      </w:r>
      <w:bookmarkEnd w:id="83"/>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39"/>
        <w:gridCol w:w="1559"/>
        <w:gridCol w:w="927"/>
        <w:gridCol w:w="1094"/>
        <w:gridCol w:w="143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jc w:val="center"/>
              <w:rPr>
                <w:rFonts w:ascii="宋体"/>
                <w:color w:val="000000" w:themeColor="text1"/>
                <w:szCs w:val="21"/>
              </w:rPr>
            </w:pPr>
            <w:r>
              <w:rPr>
                <w:rFonts w:hint="eastAsia" w:ascii="宋体" w:hAnsi="宋体"/>
                <w:color w:val="000000" w:themeColor="text1"/>
                <w:szCs w:val="21"/>
              </w:rPr>
              <w:t>序号</w:t>
            </w:r>
          </w:p>
        </w:tc>
        <w:tc>
          <w:tcPr>
            <w:tcW w:w="1939" w:type="dxa"/>
          </w:tcPr>
          <w:p>
            <w:pPr>
              <w:spacing w:line="500" w:lineRule="exact"/>
              <w:jc w:val="center"/>
              <w:rPr>
                <w:rFonts w:ascii="宋体"/>
                <w:color w:val="000000" w:themeColor="text1"/>
                <w:szCs w:val="21"/>
              </w:rPr>
            </w:pPr>
            <w:r>
              <w:rPr>
                <w:rFonts w:hint="eastAsia" w:ascii="宋体" w:hAnsi="宋体"/>
                <w:color w:val="000000" w:themeColor="text1"/>
                <w:szCs w:val="21"/>
              </w:rPr>
              <w:t>设施设备名称</w:t>
            </w:r>
          </w:p>
        </w:tc>
        <w:tc>
          <w:tcPr>
            <w:tcW w:w="1559" w:type="dxa"/>
          </w:tcPr>
          <w:p>
            <w:pPr>
              <w:spacing w:line="500" w:lineRule="exact"/>
              <w:jc w:val="center"/>
              <w:rPr>
                <w:rFonts w:ascii="宋体"/>
                <w:color w:val="000000" w:themeColor="text1"/>
                <w:szCs w:val="21"/>
              </w:rPr>
            </w:pPr>
            <w:r>
              <w:rPr>
                <w:rFonts w:hint="eastAsia" w:ascii="宋体" w:hAnsi="宋体"/>
                <w:color w:val="000000" w:themeColor="text1"/>
                <w:szCs w:val="21"/>
              </w:rPr>
              <w:t>型号及规格</w:t>
            </w:r>
          </w:p>
        </w:tc>
        <w:tc>
          <w:tcPr>
            <w:tcW w:w="927" w:type="dxa"/>
          </w:tcPr>
          <w:p>
            <w:pPr>
              <w:spacing w:line="500" w:lineRule="exact"/>
              <w:jc w:val="center"/>
              <w:rPr>
                <w:rFonts w:ascii="宋体"/>
                <w:color w:val="000000" w:themeColor="text1"/>
                <w:szCs w:val="21"/>
              </w:rPr>
            </w:pPr>
            <w:r>
              <w:rPr>
                <w:rFonts w:hint="eastAsia" w:ascii="宋体" w:hAnsi="宋体"/>
                <w:color w:val="000000" w:themeColor="text1"/>
                <w:szCs w:val="21"/>
              </w:rPr>
              <w:t>数量</w:t>
            </w:r>
          </w:p>
        </w:tc>
        <w:tc>
          <w:tcPr>
            <w:tcW w:w="1094" w:type="dxa"/>
          </w:tcPr>
          <w:p>
            <w:pPr>
              <w:spacing w:line="500" w:lineRule="exact"/>
              <w:jc w:val="center"/>
              <w:rPr>
                <w:rFonts w:ascii="宋体"/>
                <w:color w:val="000000" w:themeColor="text1"/>
                <w:szCs w:val="21"/>
              </w:rPr>
            </w:pPr>
            <w:r>
              <w:rPr>
                <w:rFonts w:hint="eastAsia" w:ascii="宋体" w:hAnsi="宋体"/>
                <w:color w:val="000000" w:themeColor="text1"/>
                <w:szCs w:val="21"/>
              </w:rPr>
              <w:t>单价（元）</w:t>
            </w:r>
          </w:p>
        </w:tc>
        <w:tc>
          <w:tcPr>
            <w:tcW w:w="1433" w:type="dxa"/>
          </w:tcPr>
          <w:p>
            <w:pPr>
              <w:spacing w:line="500" w:lineRule="exact"/>
              <w:jc w:val="center"/>
              <w:rPr>
                <w:rFonts w:ascii="宋体"/>
                <w:color w:val="000000" w:themeColor="text1"/>
                <w:szCs w:val="21"/>
              </w:rPr>
            </w:pPr>
            <w:r>
              <w:rPr>
                <w:rFonts w:hint="eastAsia" w:ascii="宋体" w:hAnsi="宋体"/>
                <w:color w:val="000000" w:themeColor="text1"/>
                <w:szCs w:val="21"/>
              </w:rPr>
              <w:t>厂家</w:t>
            </w:r>
          </w:p>
        </w:tc>
        <w:tc>
          <w:tcPr>
            <w:tcW w:w="800" w:type="dxa"/>
          </w:tcPr>
          <w:p>
            <w:pPr>
              <w:spacing w:line="500" w:lineRule="exact"/>
              <w:jc w:val="center"/>
              <w:rPr>
                <w:rFonts w:ascii="宋体"/>
                <w:color w:val="000000" w:themeColor="text1"/>
                <w:szCs w:val="21"/>
              </w:rPr>
            </w:pPr>
            <w:r>
              <w:rPr>
                <w:rFonts w:hint="eastAsia"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tcPr>
          <w:p>
            <w:pPr>
              <w:spacing w:line="500" w:lineRule="exact"/>
              <w:rPr>
                <w:rFonts w:ascii="宋体"/>
                <w:color w:val="000000" w:themeColor="text1"/>
                <w:szCs w:val="21"/>
              </w:rPr>
            </w:pPr>
          </w:p>
        </w:tc>
        <w:tc>
          <w:tcPr>
            <w:tcW w:w="1939" w:type="dxa"/>
          </w:tcPr>
          <w:p>
            <w:pPr>
              <w:spacing w:line="500" w:lineRule="exact"/>
              <w:rPr>
                <w:rFonts w:ascii="宋体"/>
                <w:color w:val="000000" w:themeColor="text1"/>
                <w:szCs w:val="21"/>
              </w:rPr>
            </w:pPr>
          </w:p>
        </w:tc>
        <w:tc>
          <w:tcPr>
            <w:tcW w:w="1559" w:type="dxa"/>
          </w:tcPr>
          <w:p>
            <w:pPr>
              <w:spacing w:line="500" w:lineRule="exact"/>
              <w:rPr>
                <w:rFonts w:ascii="宋体"/>
                <w:color w:val="000000" w:themeColor="text1"/>
                <w:szCs w:val="21"/>
              </w:rPr>
            </w:pPr>
          </w:p>
        </w:tc>
        <w:tc>
          <w:tcPr>
            <w:tcW w:w="927" w:type="dxa"/>
          </w:tcPr>
          <w:p>
            <w:pPr>
              <w:spacing w:line="500" w:lineRule="exact"/>
              <w:rPr>
                <w:rFonts w:ascii="宋体"/>
                <w:color w:val="000000" w:themeColor="text1"/>
                <w:szCs w:val="21"/>
              </w:rPr>
            </w:pPr>
          </w:p>
        </w:tc>
        <w:tc>
          <w:tcPr>
            <w:tcW w:w="1094" w:type="dxa"/>
          </w:tcPr>
          <w:p>
            <w:pPr>
              <w:spacing w:line="500" w:lineRule="exact"/>
              <w:rPr>
                <w:rFonts w:ascii="宋体"/>
                <w:color w:val="000000" w:themeColor="text1"/>
                <w:szCs w:val="21"/>
              </w:rPr>
            </w:pPr>
          </w:p>
        </w:tc>
        <w:tc>
          <w:tcPr>
            <w:tcW w:w="1433" w:type="dxa"/>
          </w:tcPr>
          <w:p>
            <w:pPr>
              <w:spacing w:line="500" w:lineRule="exact"/>
              <w:rPr>
                <w:rFonts w:ascii="宋体"/>
                <w:color w:val="000000" w:themeColor="text1"/>
                <w:szCs w:val="21"/>
              </w:rPr>
            </w:pPr>
          </w:p>
        </w:tc>
        <w:tc>
          <w:tcPr>
            <w:tcW w:w="800" w:type="dxa"/>
          </w:tcPr>
          <w:p>
            <w:pPr>
              <w:spacing w:line="500" w:lineRule="exact"/>
              <w:rPr>
                <w:rFonts w:ascii="宋体"/>
                <w:color w:val="000000" w:themeColor="text1"/>
                <w:szCs w:val="21"/>
              </w:rPr>
            </w:pPr>
          </w:p>
        </w:tc>
      </w:tr>
    </w:tbl>
    <w:p>
      <w:pPr>
        <w:spacing w:line="500" w:lineRule="exact"/>
        <w:rPr>
          <w:rFonts w:ascii="宋体"/>
          <w:color w:val="000000" w:themeColor="text1"/>
          <w:szCs w:val="21"/>
        </w:rPr>
      </w:pPr>
    </w:p>
    <w:p>
      <w:pPr>
        <w:spacing w:line="500" w:lineRule="exact"/>
        <w:rPr>
          <w:rFonts w:ascii="宋体"/>
          <w:color w:val="000000" w:themeColor="text1"/>
          <w:szCs w:val="21"/>
        </w:rPr>
      </w:pPr>
      <w:r>
        <w:rPr>
          <w:rFonts w:hint="eastAsia" w:ascii="宋体" w:hAnsi="宋体"/>
          <w:color w:val="000000" w:themeColor="text1"/>
          <w:szCs w:val="21"/>
        </w:rPr>
        <w:t>移交人：接收人：</w:t>
      </w:r>
    </w:p>
    <w:p>
      <w:pPr>
        <w:spacing w:line="500" w:lineRule="exact"/>
        <w:ind w:firstLine="525" w:firstLineChars="250"/>
        <w:rPr>
          <w:rFonts w:ascii="宋体"/>
          <w:color w:val="000000" w:themeColor="text1"/>
          <w:szCs w:val="21"/>
        </w:rPr>
      </w:pPr>
      <w:r>
        <w:rPr>
          <w:rFonts w:hint="eastAsia" w:ascii="宋体" w:hAnsi="宋体"/>
          <w:color w:val="000000" w:themeColor="text1"/>
          <w:szCs w:val="21"/>
        </w:rPr>
        <w:t>年月日年月日</w:t>
      </w:r>
    </w:p>
    <w:p>
      <w:pPr>
        <w:spacing w:line="500" w:lineRule="exact"/>
        <w:rPr>
          <w:rFonts w:ascii="宋体"/>
          <w:color w:val="000000" w:themeColor="text1"/>
          <w:szCs w:val="21"/>
        </w:rPr>
      </w:pPr>
    </w:p>
    <w:p>
      <w:pPr>
        <w:spacing w:line="500" w:lineRule="exact"/>
        <w:rPr>
          <w:rFonts w:ascii="宋体"/>
          <w:color w:val="000000" w:themeColor="text1"/>
          <w:szCs w:val="21"/>
        </w:rPr>
      </w:pPr>
      <w:r>
        <w:rPr>
          <w:rFonts w:hint="eastAsia" w:ascii="宋体" w:hAnsi="宋体"/>
          <w:color w:val="000000" w:themeColor="text1"/>
          <w:szCs w:val="21"/>
        </w:rPr>
        <w:t>移交单位负责人：移交单位负责人：</w:t>
      </w:r>
    </w:p>
    <w:p>
      <w:pPr>
        <w:spacing w:line="500" w:lineRule="exact"/>
        <w:rPr>
          <w:rFonts w:ascii="宋体"/>
          <w:color w:val="000000" w:themeColor="text1"/>
          <w:szCs w:val="21"/>
        </w:rPr>
      </w:pPr>
      <w:r>
        <w:rPr>
          <w:rFonts w:hint="eastAsia" w:ascii="宋体" w:hAnsi="宋体"/>
          <w:color w:val="000000" w:themeColor="text1"/>
          <w:szCs w:val="21"/>
        </w:rPr>
        <w:t>（签字盖章）（签字盖章）</w:t>
      </w:r>
    </w:p>
    <w:p>
      <w:pPr>
        <w:spacing w:line="500" w:lineRule="exact"/>
        <w:ind w:firstLine="525" w:firstLineChars="250"/>
        <w:rPr>
          <w:color w:val="000000" w:themeColor="text1"/>
          <w:sz w:val="24"/>
          <w:szCs w:val="24"/>
        </w:rPr>
      </w:pPr>
      <w:r>
        <w:rPr>
          <w:rFonts w:hint="eastAsia" w:ascii="宋体" w:hAnsi="宋体"/>
          <w:color w:val="000000" w:themeColor="text1"/>
          <w:szCs w:val="21"/>
        </w:rPr>
        <w:t>年月日年月日</w:t>
      </w: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pStyle w:val="2"/>
        <w:spacing w:before="0" w:after="0"/>
        <w:jc w:val="center"/>
        <w:rPr>
          <w:color w:val="000000" w:themeColor="text1"/>
          <w:sz w:val="36"/>
          <w:szCs w:val="36"/>
        </w:rPr>
      </w:pPr>
      <w:bookmarkStart w:id="84" w:name="_Toc186919427"/>
      <w:bookmarkStart w:id="85" w:name="_Toc9436"/>
      <w:r>
        <w:rPr>
          <w:rFonts w:hint="eastAsia"/>
          <w:color w:val="000000" w:themeColor="text1"/>
          <w:sz w:val="36"/>
          <w:szCs w:val="36"/>
        </w:rPr>
        <w:t>第六篇投标文件格式</w:t>
      </w:r>
      <w:bookmarkEnd w:id="84"/>
      <w:bookmarkEnd w:id="85"/>
    </w:p>
    <w:p>
      <w:pPr>
        <w:pStyle w:val="3"/>
        <w:spacing w:before="0" w:after="0"/>
        <w:ind w:firstLine="562" w:firstLineChars="200"/>
        <w:rPr>
          <w:color w:val="000000" w:themeColor="text1"/>
          <w:sz w:val="28"/>
          <w:szCs w:val="28"/>
        </w:rPr>
      </w:pPr>
      <w:bookmarkStart w:id="86" w:name="_Toc186919428"/>
      <w:bookmarkStart w:id="87" w:name="_Toc29297"/>
      <w:r>
        <w:rPr>
          <w:rFonts w:hint="eastAsia"/>
          <w:color w:val="000000" w:themeColor="text1"/>
          <w:sz w:val="28"/>
          <w:szCs w:val="28"/>
        </w:rPr>
        <w:t>一、经济文件</w:t>
      </w:r>
      <w:bookmarkEnd w:id="86"/>
      <w:bookmarkEnd w:id="87"/>
    </w:p>
    <w:p>
      <w:pPr>
        <w:snapToGrid w:val="0"/>
        <w:spacing w:line="440" w:lineRule="exact"/>
        <w:ind w:firstLine="480" w:firstLineChars="200"/>
        <w:rPr>
          <w:rFonts w:ascii="宋体"/>
          <w:color w:val="000000" w:themeColor="text1"/>
          <w:sz w:val="24"/>
          <w:szCs w:val="24"/>
        </w:rPr>
      </w:pPr>
      <w:bookmarkStart w:id="88" w:name="_Toc186919429"/>
      <w:r>
        <w:rPr>
          <w:rFonts w:hint="eastAsia" w:ascii="宋体" w:hAnsi="宋体"/>
          <w:color w:val="000000" w:themeColor="text1"/>
          <w:sz w:val="24"/>
          <w:szCs w:val="24"/>
        </w:rPr>
        <w:t>（一）开标一览表</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（二）分项报价明细表</w:t>
      </w:r>
    </w:p>
    <w:p>
      <w:pPr>
        <w:pStyle w:val="3"/>
        <w:spacing w:before="0" w:after="0"/>
        <w:ind w:firstLine="562" w:firstLineChars="200"/>
        <w:rPr>
          <w:color w:val="000000" w:themeColor="text1"/>
          <w:sz w:val="28"/>
          <w:szCs w:val="28"/>
        </w:rPr>
      </w:pPr>
      <w:bookmarkStart w:id="89" w:name="_Toc1380"/>
      <w:r>
        <w:rPr>
          <w:rFonts w:hint="eastAsia"/>
          <w:color w:val="000000" w:themeColor="text1"/>
          <w:sz w:val="28"/>
          <w:szCs w:val="28"/>
        </w:rPr>
        <w:t>二、资格文件</w:t>
      </w:r>
      <w:bookmarkEnd w:id="88"/>
      <w:bookmarkEnd w:id="89"/>
    </w:p>
    <w:p>
      <w:pPr>
        <w:snapToGrid w:val="0"/>
        <w:spacing w:line="440" w:lineRule="exact"/>
        <w:ind w:firstLine="480" w:firstLineChars="200"/>
        <w:rPr>
          <w:rFonts w:ascii="宋体"/>
          <w:color w:val="000000" w:themeColor="text1"/>
          <w:sz w:val="24"/>
          <w:szCs w:val="24"/>
        </w:rPr>
      </w:pPr>
      <w:bookmarkStart w:id="90" w:name="_Toc186919430"/>
      <w:r>
        <w:rPr>
          <w:rFonts w:hint="eastAsia" w:ascii="宋体" w:hAnsi="宋体"/>
          <w:color w:val="000000" w:themeColor="text1"/>
          <w:sz w:val="24"/>
          <w:szCs w:val="24"/>
        </w:rPr>
        <w:t>（一）营业执照（副本）或事业单位法人证书（副本）复印件</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（二）组织机构代码证复印件、税务登记证（副本）复印件。</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说明：投标人按“三证合一”登记制度办理营业执照的，组织机构代码证和税务登记证以投标人所提供的法人营业执照（副本）复印件为准。</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（三）法定代表人身份证明书（格式）</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（四）法定代表人授权委托书（格式）</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（五）诚信声明格式</w:t>
      </w:r>
      <w:r>
        <w:rPr>
          <w:rFonts w:ascii="宋体" w:hAnsi="宋体"/>
          <w:color w:val="000000" w:themeColor="text1"/>
          <w:sz w:val="24"/>
          <w:szCs w:val="24"/>
        </w:rPr>
        <w:t>(</w:t>
      </w:r>
      <w:r>
        <w:rPr>
          <w:rFonts w:hint="eastAsia" w:ascii="宋体" w:hAnsi="宋体"/>
          <w:color w:val="000000" w:themeColor="text1"/>
          <w:sz w:val="24"/>
          <w:szCs w:val="24"/>
        </w:rPr>
        <w:t>如果有</w:t>
      </w:r>
      <w:r>
        <w:rPr>
          <w:rFonts w:ascii="宋体" w:hAnsi="宋体"/>
          <w:color w:val="000000" w:themeColor="text1"/>
          <w:sz w:val="24"/>
          <w:szCs w:val="24"/>
        </w:rPr>
        <w:t>)</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（六）上一年度资产负债表、利润表、现金流量表复印件，本年度新成立的公司提供投标截止时间前一个月的财务状况报告（资产负债表、利润表、现金流量表复印件）。</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（七）缴纳税收的证明材料和社会保险缴纳证明材料</w:t>
      </w:r>
    </w:p>
    <w:p>
      <w:pPr>
        <w:tabs>
          <w:tab w:val="left" w:pos="6300"/>
        </w:tabs>
        <w:snapToGrid w:val="0"/>
        <w:spacing w:line="500" w:lineRule="exact"/>
        <w:ind w:firstLine="480" w:firstLineChars="200"/>
        <w:rPr>
          <w:rFonts w:ascii="宋体"/>
          <w:color w:val="000000" w:themeColor="text1"/>
          <w:sz w:val="24"/>
          <w:szCs w:val="24"/>
        </w:rPr>
      </w:pPr>
      <w:r>
        <w:rPr>
          <w:rFonts w:hint="eastAsia" w:ascii="宋体" w:hAnsi="宋体"/>
          <w:color w:val="000000" w:themeColor="text1"/>
          <w:sz w:val="24"/>
          <w:szCs w:val="24"/>
        </w:rPr>
        <w:t>（八）廉洁承诺书、</w:t>
      </w:r>
      <w:r>
        <w:rPr>
          <w:rFonts w:hint="eastAsia" w:ascii="宋体" w:hAnsi="宋体" w:cs="宋体"/>
          <w:color w:val="000000" w:themeColor="text1"/>
          <w:kern w:val="0"/>
          <w:sz w:val="24"/>
          <w:szCs w:val="24"/>
        </w:rPr>
        <w:t>书面声明与</w:t>
      </w:r>
      <w:r>
        <w:rPr>
          <w:rFonts w:hint="eastAsia" w:ascii="宋体" w:hAnsi="宋体"/>
          <w:color w:val="000000" w:themeColor="text1"/>
          <w:sz w:val="24"/>
          <w:szCs w:val="24"/>
        </w:rPr>
        <w:t>信用中国网站（</w:t>
      </w:r>
      <w:r>
        <w:rPr>
          <w:rFonts w:ascii="宋体" w:hAnsi="宋体"/>
          <w:color w:val="000000" w:themeColor="text1"/>
          <w:sz w:val="24"/>
          <w:szCs w:val="24"/>
        </w:rPr>
        <w:t>www.creditchina.gov.cn</w:t>
      </w:r>
      <w:r>
        <w:rPr>
          <w:rFonts w:hint="eastAsia" w:ascii="宋体" w:hAnsi="宋体"/>
          <w:color w:val="000000" w:themeColor="text1"/>
          <w:sz w:val="24"/>
          <w:szCs w:val="24"/>
        </w:rPr>
        <w:t>）“信用信息”（包括“失信被执行人”及“重大税收违法案件当事人名单”）及“行政处罚”查询结果以及中国政府采购网（</w:t>
      </w:r>
      <w:r>
        <w:rPr>
          <w:rFonts w:ascii="宋体" w:hAnsi="宋体"/>
          <w:color w:val="000000" w:themeColor="text1"/>
          <w:sz w:val="24"/>
          <w:szCs w:val="24"/>
        </w:rPr>
        <w:t>www.ccgp.gov.cn</w:t>
      </w:r>
      <w:r>
        <w:rPr>
          <w:rFonts w:hint="eastAsia" w:ascii="宋体" w:hAnsi="宋体"/>
          <w:color w:val="000000" w:themeColor="text1"/>
          <w:sz w:val="24"/>
          <w:szCs w:val="24"/>
        </w:rPr>
        <w:t>）“政府采购严重违法失信行为纪录名单”查询结果（上述两个网站查询结果网页打印件并加盖投标人公章）。查询结果为本项目采购公告发布之日起至投标截止时间前</w:t>
      </w:r>
    </w:p>
    <w:p>
      <w:pPr>
        <w:snapToGrid w:val="0"/>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（九）特定资格条件证明文件</w:t>
      </w:r>
      <w:r>
        <w:rPr>
          <w:rFonts w:ascii="宋体" w:hAnsi="宋体"/>
          <w:color w:val="000000" w:themeColor="text1"/>
          <w:sz w:val="24"/>
          <w:szCs w:val="24"/>
        </w:rPr>
        <w:t>(</w:t>
      </w:r>
      <w:r>
        <w:rPr>
          <w:rFonts w:hint="eastAsia" w:ascii="宋体" w:hAnsi="宋体"/>
          <w:color w:val="000000" w:themeColor="text1"/>
          <w:sz w:val="24"/>
          <w:szCs w:val="24"/>
        </w:rPr>
        <w:t>如果有</w:t>
      </w:r>
      <w:r>
        <w:rPr>
          <w:rFonts w:ascii="宋体" w:hAnsi="宋体"/>
          <w:color w:val="000000" w:themeColor="text1"/>
          <w:sz w:val="24"/>
          <w:szCs w:val="24"/>
        </w:rPr>
        <w:t>)</w:t>
      </w:r>
    </w:p>
    <w:p>
      <w:pPr>
        <w:pStyle w:val="3"/>
        <w:spacing w:before="0" w:after="0"/>
        <w:ind w:firstLine="562" w:firstLineChars="200"/>
        <w:rPr>
          <w:color w:val="000000" w:themeColor="text1"/>
          <w:sz w:val="28"/>
          <w:szCs w:val="28"/>
        </w:rPr>
      </w:pPr>
      <w:bookmarkStart w:id="91" w:name="_Toc16554"/>
      <w:r>
        <w:rPr>
          <w:rFonts w:hint="eastAsia"/>
          <w:color w:val="000000" w:themeColor="text1"/>
          <w:sz w:val="28"/>
          <w:szCs w:val="28"/>
        </w:rPr>
        <w:t>三、商务文件</w:t>
      </w:r>
      <w:bookmarkEnd w:id="90"/>
      <w:bookmarkEnd w:id="91"/>
    </w:p>
    <w:p>
      <w:pPr>
        <w:spacing w:line="400" w:lineRule="exact"/>
        <w:ind w:firstLine="480" w:firstLineChars="200"/>
        <w:jc w:val="left"/>
        <w:rPr>
          <w:color w:val="000000" w:themeColor="text1"/>
          <w:sz w:val="24"/>
          <w:szCs w:val="24"/>
        </w:rPr>
      </w:pPr>
      <w:r>
        <w:rPr>
          <w:rFonts w:hint="eastAsia"/>
          <w:color w:val="000000" w:themeColor="text1"/>
          <w:sz w:val="24"/>
          <w:szCs w:val="24"/>
        </w:rPr>
        <w:t>（一）投标函（格式）；</w:t>
      </w:r>
    </w:p>
    <w:p>
      <w:pPr>
        <w:spacing w:line="400" w:lineRule="exact"/>
        <w:ind w:firstLine="480" w:firstLineChars="200"/>
        <w:jc w:val="left"/>
        <w:rPr>
          <w:color w:val="000000" w:themeColor="text1"/>
          <w:sz w:val="24"/>
          <w:szCs w:val="24"/>
        </w:rPr>
      </w:pPr>
      <w:r>
        <w:rPr>
          <w:rFonts w:hint="eastAsia"/>
          <w:color w:val="000000" w:themeColor="text1"/>
          <w:sz w:val="24"/>
          <w:szCs w:val="24"/>
        </w:rPr>
        <w:t>（二）投标人基本情况介绍及商务承诺；</w:t>
      </w:r>
    </w:p>
    <w:p>
      <w:pPr>
        <w:spacing w:line="400" w:lineRule="exact"/>
        <w:ind w:firstLine="480" w:firstLineChars="200"/>
        <w:jc w:val="left"/>
        <w:rPr>
          <w:color w:val="000000" w:themeColor="text1"/>
          <w:sz w:val="24"/>
          <w:szCs w:val="24"/>
        </w:rPr>
      </w:pPr>
      <w:r>
        <w:rPr>
          <w:rFonts w:hint="eastAsia"/>
          <w:color w:val="000000" w:themeColor="text1"/>
          <w:sz w:val="24"/>
          <w:szCs w:val="24"/>
        </w:rPr>
        <w:t>（三）商务条款差异表；</w:t>
      </w:r>
    </w:p>
    <w:p>
      <w:pPr>
        <w:spacing w:line="400" w:lineRule="exact"/>
        <w:ind w:firstLine="480" w:firstLineChars="200"/>
        <w:jc w:val="left"/>
        <w:rPr>
          <w:color w:val="000000" w:themeColor="text1"/>
          <w:sz w:val="24"/>
          <w:szCs w:val="24"/>
        </w:rPr>
      </w:pPr>
      <w:r>
        <w:rPr>
          <w:rFonts w:hint="eastAsia"/>
          <w:color w:val="000000" w:themeColor="text1"/>
          <w:sz w:val="24"/>
          <w:szCs w:val="24"/>
        </w:rPr>
        <w:t>（四）联合经营服务承诺。</w:t>
      </w:r>
    </w:p>
    <w:p>
      <w:pPr>
        <w:pStyle w:val="3"/>
        <w:spacing w:before="0" w:after="0"/>
        <w:ind w:firstLine="562" w:firstLineChars="200"/>
        <w:rPr>
          <w:color w:val="000000" w:themeColor="text1"/>
          <w:sz w:val="28"/>
          <w:szCs w:val="28"/>
        </w:rPr>
      </w:pPr>
      <w:bookmarkStart w:id="92" w:name="_Toc15593"/>
      <w:bookmarkStart w:id="93" w:name="_Toc186919431"/>
      <w:r>
        <w:rPr>
          <w:rFonts w:hint="eastAsia"/>
          <w:color w:val="000000" w:themeColor="text1"/>
          <w:sz w:val="28"/>
          <w:szCs w:val="28"/>
        </w:rPr>
        <w:t>四、经济与技术文件</w:t>
      </w:r>
      <w:bookmarkEnd w:id="92"/>
      <w:bookmarkEnd w:id="93"/>
    </w:p>
    <w:p>
      <w:pPr>
        <w:spacing w:line="400" w:lineRule="exact"/>
        <w:ind w:firstLine="480" w:firstLineChars="200"/>
        <w:jc w:val="left"/>
        <w:rPr>
          <w:color w:val="000000" w:themeColor="text1"/>
          <w:sz w:val="24"/>
          <w:szCs w:val="24"/>
        </w:rPr>
      </w:pPr>
      <w:r>
        <w:rPr>
          <w:rFonts w:hint="eastAsia"/>
          <w:color w:val="000000" w:themeColor="text1"/>
          <w:sz w:val="24"/>
          <w:szCs w:val="24"/>
        </w:rPr>
        <w:t>（一）经营服务方案；</w:t>
      </w:r>
    </w:p>
    <w:p>
      <w:pPr>
        <w:spacing w:line="400" w:lineRule="exact"/>
        <w:ind w:firstLine="480" w:firstLineChars="200"/>
        <w:jc w:val="left"/>
        <w:rPr>
          <w:color w:val="000000" w:themeColor="text1"/>
          <w:sz w:val="24"/>
          <w:szCs w:val="24"/>
        </w:rPr>
      </w:pPr>
      <w:r>
        <w:rPr>
          <w:rFonts w:hint="eastAsia"/>
          <w:color w:val="000000" w:themeColor="text1"/>
          <w:sz w:val="24"/>
          <w:szCs w:val="24"/>
        </w:rPr>
        <w:t>（二）每月向学校缴纳管理费占营业额的比例；</w:t>
      </w:r>
    </w:p>
    <w:p>
      <w:pPr>
        <w:spacing w:line="400" w:lineRule="exact"/>
        <w:ind w:firstLine="480" w:firstLineChars="200"/>
        <w:jc w:val="left"/>
        <w:rPr>
          <w:color w:val="000000" w:themeColor="text1"/>
          <w:sz w:val="24"/>
          <w:szCs w:val="24"/>
        </w:rPr>
      </w:pPr>
      <w:r>
        <w:rPr>
          <w:rFonts w:hint="eastAsia"/>
          <w:color w:val="000000" w:themeColor="text1"/>
          <w:sz w:val="24"/>
          <w:szCs w:val="24"/>
        </w:rPr>
        <w:t>（三）每年向学校缴纳管理费的最低总额；</w:t>
      </w:r>
    </w:p>
    <w:p>
      <w:pPr>
        <w:spacing w:line="400" w:lineRule="exact"/>
        <w:ind w:firstLine="480" w:firstLineChars="200"/>
        <w:jc w:val="left"/>
        <w:rPr>
          <w:color w:val="000000" w:themeColor="text1"/>
          <w:sz w:val="24"/>
          <w:szCs w:val="24"/>
        </w:rPr>
      </w:pPr>
      <w:r>
        <w:rPr>
          <w:rFonts w:hint="eastAsia"/>
          <w:color w:val="000000" w:themeColor="text1"/>
          <w:sz w:val="24"/>
          <w:szCs w:val="24"/>
        </w:rPr>
        <w:t>（四）首期投资食堂装修和餐厨设施设备等费用；</w:t>
      </w:r>
    </w:p>
    <w:p>
      <w:pPr>
        <w:spacing w:line="400" w:lineRule="exact"/>
        <w:ind w:firstLine="480" w:firstLineChars="200"/>
        <w:jc w:val="left"/>
        <w:rPr>
          <w:color w:val="000000" w:themeColor="text1"/>
          <w:sz w:val="24"/>
          <w:szCs w:val="24"/>
        </w:rPr>
      </w:pPr>
      <w:r>
        <w:rPr>
          <w:rFonts w:hint="eastAsia"/>
          <w:color w:val="000000" w:themeColor="text1"/>
          <w:sz w:val="24"/>
          <w:szCs w:val="24"/>
        </w:rPr>
        <w:t>（五）经济与技术条款差异表。</w:t>
      </w:r>
    </w:p>
    <w:p>
      <w:pPr>
        <w:pStyle w:val="3"/>
        <w:spacing w:before="0" w:after="0"/>
        <w:ind w:firstLine="562" w:firstLineChars="200"/>
        <w:rPr>
          <w:color w:val="000000" w:themeColor="text1"/>
          <w:sz w:val="28"/>
          <w:szCs w:val="28"/>
        </w:rPr>
      </w:pPr>
      <w:bookmarkStart w:id="94" w:name="_Toc24233"/>
      <w:bookmarkStart w:id="95" w:name="_Toc186919432"/>
      <w:r>
        <w:rPr>
          <w:rFonts w:hint="eastAsia"/>
          <w:color w:val="000000" w:themeColor="text1"/>
          <w:sz w:val="28"/>
          <w:szCs w:val="28"/>
        </w:rPr>
        <w:t>五、其他</w:t>
      </w:r>
      <w:bookmarkEnd w:id="94"/>
      <w:bookmarkEnd w:id="95"/>
    </w:p>
    <w:p>
      <w:pPr>
        <w:spacing w:line="400" w:lineRule="exact"/>
        <w:ind w:firstLine="480" w:firstLineChars="200"/>
        <w:jc w:val="left"/>
        <w:rPr>
          <w:color w:val="000000" w:themeColor="text1"/>
          <w:sz w:val="24"/>
          <w:szCs w:val="24"/>
        </w:rPr>
      </w:pPr>
      <w:r>
        <w:rPr>
          <w:rFonts w:hint="eastAsia"/>
          <w:color w:val="000000" w:themeColor="text1"/>
          <w:sz w:val="24"/>
          <w:szCs w:val="24"/>
        </w:rPr>
        <w:t>（一）投标保证金缴纳情况证明文件；</w:t>
      </w:r>
    </w:p>
    <w:p>
      <w:pPr>
        <w:spacing w:line="400" w:lineRule="exact"/>
        <w:ind w:firstLine="480" w:firstLineChars="200"/>
        <w:jc w:val="left"/>
        <w:rPr>
          <w:color w:val="000000" w:themeColor="text1"/>
          <w:sz w:val="24"/>
          <w:szCs w:val="24"/>
        </w:rPr>
      </w:pPr>
      <w:r>
        <w:rPr>
          <w:rFonts w:hint="eastAsia"/>
          <w:color w:val="000000" w:themeColor="text1"/>
          <w:sz w:val="24"/>
          <w:szCs w:val="24"/>
        </w:rPr>
        <w:t>（二）其他与项目有关的资料（自附）。</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562" w:firstLineChars="200"/>
        <w:jc w:val="left"/>
        <w:rPr>
          <w:b/>
          <w:bCs/>
          <w:color w:val="000000" w:themeColor="text1"/>
          <w:sz w:val="28"/>
          <w:szCs w:val="28"/>
        </w:rPr>
      </w:pPr>
      <w:bookmarkStart w:id="96" w:name="_Toc186919433"/>
      <w:r>
        <w:rPr>
          <w:rFonts w:hint="eastAsia"/>
          <w:b/>
          <w:bCs/>
          <w:color w:val="000000" w:themeColor="text1"/>
          <w:sz w:val="28"/>
          <w:szCs w:val="28"/>
        </w:rPr>
        <w:t>一、经济文件</w:t>
      </w:r>
      <w:bookmarkEnd w:id="96"/>
    </w:p>
    <w:p>
      <w:pPr>
        <w:spacing w:line="400" w:lineRule="exact"/>
        <w:ind w:firstLine="482" w:firstLineChars="200"/>
        <w:jc w:val="left"/>
        <w:rPr>
          <w:b/>
          <w:color w:val="000000" w:themeColor="text1"/>
          <w:sz w:val="24"/>
          <w:szCs w:val="24"/>
        </w:rPr>
      </w:pPr>
      <w:r>
        <w:rPr>
          <w:rFonts w:hint="eastAsia"/>
          <w:b/>
          <w:color w:val="000000" w:themeColor="text1"/>
          <w:sz w:val="24"/>
          <w:szCs w:val="24"/>
        </w:rPr>
        <w:t>（一）开标一览表</w:t>
      </w:r>
    </w:p>
    <w:p>
      <w:pPr>
        <w:spacing w:line="400" w:lineRule="exact"/>
        <w:ind w:firstLine="480" w:firstLineChars="200"/>
        <w:jc w:val="left"/>
        <w:rPr>
          <w:color w:val="000000" w:themeColor="text1"/>
          <w:sz w:val="24"/>
          <w:szCs w:val="24"/>
        </w:rPr>
      </w:pPr>
    </w:p>
    <w:tbl>
      <w:tblPr>
        <w:tblStyle w:val="43"/>
        <w:tblpPr w:leftFromText="180" w:rightFromText="180" w:vertAnchor="text" w:horzAnchor="margin" w:tblpXSpec="center" w:tblpY="597"/>
        <w:tblOverlap w:val="never"/>
        <w:tblW w:w="7933" w:type="dxa"/>
        <w:tblInd w:w="0" w:type="dxa"/>
        <w:tblLayout w:type="fixed"/>
        <w:tblCellMar>
          <w:top w:w="0" w:type="dxa"/>
          <w:left w:w="108" w:type="dxa"/>
          <w:bottom w:w="0" w:type="dxa"/>
          <w:right w:w="108" w:type="dxa"/>
        </w:tblCellMar>
      </w:tblPr>
      <w:tblGrid>
        <w:gridCol w:w="1728"/>
        <w:gridCol w:w="1800"/>
        <w:gridCol w:w="1800"/>
        <w:gridCol w:w="1619"/>
        <w:gridCol w:w="986"/>
      </w:tblGrid>
      <w:tr>
        <w:tblPrEx>
          <w:tblLayout w:type="fixed"/>
          <w:tblCellMar>
            <w:top w:w="0" w:type="dxa"/>
            <w:left w:w="108" w:type="dxa"/>
            <w:bottom w:w="0" w:type="dxa"/>
            <w:right w:w="108" w:type="dxa"/>
          </w:tblCellMar>
        </w:tblPrEx>
        <w:trPr>
          <w:trHeight w:val="736" w:hRule="atLeast"/>
        </w:trPr>
        <w:tc>
          <w:tcPr>
            <w:tcW w:w="17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000000" w:themeColor="text1"/>
                <w:kern w:val="0"/>
                <w:sz w:val="24"/>
                <w:szCs w:val="24"/>
              </w:rPr>
            </w:pPr>
            <w:r>
              <w:rPr>
                <w:rFonts w:hint="eastAsia" w:ascii="宋体" w:hAnsi="宋体" w:cs="宋体"/>
                <w:bCs/>
                <w:color w:val="000000" w:themeColor="text1"/>
                <w:kern w:val="0"/>
                <w:sz w:val="24"/>
                <w:szCs w:val="24"/>
              </w:rPr>
              <w:t>投标单位</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000000" w:themeColor="text1"/>
                <w:kern w:val="0"/>
                <w:sz w:val="24"/>
                <w:szCs w:val="24"/>
              </w:rPr>
            </w:pPr>
            <w:r>
              <w:rPr>
                <w:rFonts w:hint="eastAsia" w:ascii="宋体" w:hAnsi="宋体" w:cs="宋体"/>
                <w:bCs/>
                <w:color w:val="000000" w:themeColor="text1"/>
                <w:kern w:val="0"/>
                <w:sz w:val="24"/>
                <w:szCs w:val="24"/>
              </w:rPr>
              <w:t>年保底费</w:t>
            </w:r>
          </w:p>
          <w:p>
            <w:pPr>
              <w:widowControl/>
              <w:jc w:val="center"/>
              <w:rPr>
                <w:rFonts w:ascii="宋体" w:cs="宋体"/>
                <w:bCs/>
                <w:color w:val="000000" w:themeColor="text1"/>
                <w:kern w:val="0"/>
                <w:sz w:val="24"/>
                <w:szCs w:val="24"/>
              </w:rPr>
            </w:pPr>
            <w:r>
              <w:rPr>
                <w:rFonts w:hint="eastAsia" w:ascii="宋体" w:hAnsi="宋体" w:cs="宋体"/>
                <w:bCs/>
                <w:color w:val="000000" w:themeColor="text1"/>
                <w:kern w:val="0"/>
                <w:sz w:val="24"/>
                <w:szCs w:val="24"/>
              </w:rPr>
              <w:t>（万元）</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000000" w:themeColor="text1"/>
                <w:kern w:val="0"/>
                <w:sz w:val="24"/>
                <w:szCs w:val="24"/>
              </w:rPr>
            </w:pPr>
            <w:r>
              <w:rPr>
                <w:rFonts w:hint="eastAsia" w:ascii="宋体" w:hAnsi="宋体" w:cs="宋体"/>
                <w:bCs/>
                <w:color w:val="000000" w:themeColor="text1"/>
                <w:kern w:val="0"/>
                <w:sz w:val="24"/>
                <w:szCs w:val="24"/>
              </w:rPr>
              <w:t>月管理费</w:t>
            </w:r>
          </w:p>
          <w:p>
            <w:pPr>
              <w:widowControl/>
              <w:jc w:val="center"/>
              <w:rPr>
                <w:rFonts w:ascii="宋体" w:cs="宋体"/>
                <w:bCs/>
                <w:color w:val="000000" w:themeColor="text1"/>
                <w:kern w:val="0"/>
                <w:sz w:val="24"/>
                <w:szCs w:val="24"/>
              </w:rPr>
            </w:pPr>
            <w:r>
              <w:rPr>
                <w:rFonts w:hint="eastAsia" w:ascii="宋体" w:hAnsi="宋体" w:cs="宋体"/>
                <w:bCs/>
                <w:color w:val="000000" w:themeColor="text1"/>
                <w:kern w:val="0"/>
                <w:sz w:val="24"/>
                <w:szCs w:val="24"/>
              </w:rPr>
              <w:t>（</w:t>
            </w:r>
            <w:r>
              <w:rPr>
                <w:rFonts w:ascii="宋体" w:hAnsi="宋体" w:cs="宋体"/>
                <w:bCs/>
                <w:color w:val="000000" w:themeColor="text1"/>
                <w:kern w:val="0"/>
                <w:sz w:val="24"/>
                <w:szCs w:val="24"/>
              </w:rPr>
              <w:t>%</w:t>
            </w:r>
            <w:r>
              <w:rPr>
                <w:rFonts w:hint="eastAsia" w:ascii="宋体" w:hAnsi="宋体" w:cs="宋体"/>
                <w:bCs/>
                <w:color w:val="000000" w:themeColor="text1"/>
                <w:kern w:val="0"/>
                <w:sz w:val="24"/>
                <w:szCs w:val="24"/>
              </w:rPr>
              <w:t>）</w:t>
            </w:r>
          </w:p>
        </w:tc>
        <w:tc>
          <w:tcPr>
            <w:tcW w:w="1619"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000000" w:themeColor="text1"/>
                <w:kern w:val="0"/>
                <w:sz w:val="24"/>
                <w:szCs w:val="24"/>
              </w:rPr>
            </w:pPr>
            <w:r>
              <w:rPr>
                <w:rFonts w:hint="eastAsia" w:ascii="宋体" w:hAnsi="宋体" w:cs="宋体"/>
                <w:bCs/>
                <w:color w:val="000000" w:themeColor="text1"/>
                <w:kern w:val="0"/>
                <w:sz w:val="24"/>
                <w:szCs w:val="24"/>
              </w:rPr>
              <w:t>首期投资金</w:t>
            </w:r>
          </w:p>
          <w:p>
            <w:pPr>
              <w:widowControl/>
              <w:jc w:val="center"/>
              <w:rPr>
                <w:rFonts w:ascii="宋体" w:cs="宋体"/>
                <w:bCs/>
                <w:color w:val="000000" w:themeColor="text1"/>
                <w:kern w:val="0"/>
                <w:sz w:val="24"/>
                <w:szCs w:val="24"/>
              </w:rPr>
            </w:pPr>
            <w:r>
              <w:rPr>
                <w:rFonts w:hint="eastAsia" w:ascii="宋体" w:hAnsi="宋体" w:cs="宋体"/>
                <w:bCs/>
                <w:color w:val="000000" w:themeColor="text1"/>
                <w:kern w:val="0"/>
                <w:sz w:val="24"/>
                <w:szCs w:val="24"/>
              </w:rPr>
              <w:t>（万元）</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cs="宋体"/>
                <w:bCs/>
                <w:color w:val="000000" w:themeColor="text1"/>
                <w:kern w:val="0"/>
                <w:sz w:val="24"/>
                <w:szCs w:val="24"/>
              </w:rPr>
            </w:pPr>
            <w:r>
              <w:rPr>
                <w:rFonts w:hint="eastAsia" w:ascii="宋体" w:hAnsi="宋体" w:cs="宋体"/>
                <w:bCs/>
                <w:color w:val="000000" w:themeColor="text1"/>
                <w:kern w:val="0"/>
                <w:sz w:val="24"/>
                <w:szCs w:val="24"/>
              </w:rPr>
              <w:t>备注</w:t>
            </w:r>
          </w:p>
        </w:tc>
      </w:tr>
      <w:tr>
        <w:tblPrEx>
          <w:tblLayout w:type="fixed"/>
          <w:tblCellMar>
            <w:top w:w="0" w:type="dxa"/>
            <w:left w:w="108" w:type="dxa"/>
            <w:bottom w:w="0" w:type="dxa"/>
            <w:right w:w="108" w:type="dxa"/>
          </w:tblCellMar>
        </w:tblPrEx>
        <w:trPr>
          <w:trHeight w:val="662" w:hRule="atLeast"/>
        </w:trPr>
        <w:tc>
          <w:tcPr>
            <w:tcW w:w="172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themeColor="text1"/>
                <w:kern w:val="0"/>
                <w:sz w:val="24"/>
                <w:szCs w:val="24"/>
              </w:rPr>
            </w:pP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themeColor="text1"/>
                <w:kern w:val="0"/>
                <w:sz w:val="24"/>
                <w:szCs w:val="24"/>
              </w:rPr>
            </w:pPr>
          </w:p>
        </w:tc>
        <w:tc>
          <w:tcPr>
            <w:tcW w:w="1800" w:type="dxa"/>
            <w:tcBorders>
              <w:top w:val="nil"/>
              <w:left w:val="nil"/>
              <w:bottom w:val="single" w:color="auto" w:sz="4" w:space="0"/>
              <w:right w:val="single" w:color="auto" w:sz="4" w:space="0"/>
            </w:tcBorders>
            <w:vAlign w:val="center"/>
          </w:tcPr>
          <w:p>
            <w:pPr>
              <w:widowControl/>
              <w:jc w:val="right"/>
              <w:rPr>
                <w:rFonts w:ascii="宋体" w:cs="宋体"/>
                <w:color w:val="000000" w:themeColor="text1"/>
                <w:kern w:val="0"/>
                <w:sz w:val="24"/>
                <w:szCs w:val="24"/>
              </w:rPr>
            </w:pPr>
          </w:p>
        </w:tc>
        <w:tc>
          <w:tcPr>
            <w:tcW w:w="1619" w:type="dxa"/>
            <w:tcBorders>
              <w:top w:val="nil"/>
              <w:left w:val="nil"/>
              <w:bottom w:val="single" w:color="auto" w:sz="4" w:space="0"/>
              <w:right w:val="single" w:color="auto" w:sz="4" w:space="0"/>
            </w:tcBorders>
            <w:vAlign w:val="center"/>
          </w:tcPr>
          <w:p>
            <w:pPr>
              <w:widowControl/>
              <w:jc w:val="right"/>
              <w:rPr>
                <w:rFonts w:ascii="宋体" w:cs="宋体"/>
                <w:color w:val="000000" w:themeColor="text1"/>
                <w:kern w:val="0"/>
                <w:sz w:val="24"/>
                <w:szCs w:val="24"/>
              </w:rPr>
            </w:pPr>
          </w:p>
        </w:tc>
        <w:tc>
          <w:tcPr>
            <w:tcW w:w="986" w:type="dxa"/>
            <w:tcBorders>
              <w:top w:val="nil"/>
              <w:left w:val="nil"/>
              <w:bottom w:val="single" w:color="auto" w:sz="4" w:space="0"/>
              <w:right w:val="single" w:color="auto" w:sz="4" w:space="0"/>
            </w:tcBorders>
          </w:tcPr>
          <w:p>
            <w:pPr>
              <w:widowControl/>
              <w:jc w:val="right"/>
              <w:rPr>
                <w:rFonts w:ascii="宋体" w:cs="宋体"/>
                <w:color w:val="000000" w:themeColor="text1"/>
                <w:kern w:val="0"/>
                <w:sz w:val="24"/>
                <w:szCs w:val="24"/>
              </w:rPr>
            </w:pPr>
          </w:p>
        </w:tc>
      </w:tr>
    </w:tbl>
    <w:p>
      <w:pPr>
        <w:spacing w:line="400" w:lineRule="exact"/>
        <w:ind w:firstLine="480" w:firstLineChars="200"/>
        <w:jc w:val="left"/>
        <w:rPr>
          <w:color w:val="000000" w:themeColor="text1"/>
          <w:sz w:val="24"/>
          <w:szCs w:val="24"/>
        </w:rPr>
      </w:pPr>
      <w:r>
        <w:rPr>
          <w:rFonts w:hint="eastAsia"/>
          <w:color w:val="000000" w:themeColor="text1"/>
          <w:sz w:val="24"/>
          <w:szCs w:val="24"/>
        </w:rPr>
        <w:t>招标项目名称：</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r>
        <w:rPr>
          <w:rFonts w:hint="eastAsia"/>
          <w:color w:val="000000" w:themeColor="text1"/>
          <w:sz w:val="24"/>
          <w:szCs w:val="24"/>
        </w:rPr>
        <w:t>填写说明：</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该表是确定成交人的重要依据，请慎重填写；</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报价时请注意报价单位；</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请将其它需要特别说明的事宜填写在备注栏中。</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r>
        <w:rPr>
          <w:rFonts w:hint="eastAsia"/>
          <w:color w:val="000000" w:themeColor="text1"/>
          <w:sz w:val="24"/>
          <w:szCs w:val="24"/>
        </w:rPr>
        <w:t>报价单位：　　　　　　　　　　　　　　　　被授权报价人：</w:t>
      </w:r>
    </w:p>
    <w:p>
      <w:pPr>
        <w:spacing w:line="400" w:lineRule="exact"/>
        <w:ind w:firstLine="480" w:firstLineChars="200"/>
        <w:jc w:val="left"/>
        <w:rPr>
          <w:color w:val="000000" w:themeColor="text1"/>
          <w:sz w:val="24"/>
          <w:szCs w:val="24"/>
        </w:rPr>
      </w:pPr>
      <w:r>
        <w:rPr>
          <w:rFonts w:hint="eastAsia"/>
          <w:color w:val="000000" w:themeColor="text1"/>
          <w:sz w:val="24"/>
          <w:szCs w:val="24"/>
        </w:rPr>
        <w:t>（盖章）（签字盖章）</w:t>
      </w:r>
    </w:p>
    <w:p>
      <w:pPr>
        <w:spacing w:line="400" w:lineRule="exact"/>
        <w:ind w:firstLine="480" w:firstLineChars="200"/>
        <w:jc w:val="left"/>
        <w:rPr>
          <w:color w:val="000000" w:themeColor="text1"/>
          <w:sz w:val="24"/>
          <w:szCs w:val="24"/>
        </w:rPr>
      </w:pPr>
      <w:r>
        <w:rPr>
          <w:rFonts w:hint="eastAsia"/>
          <w:color w:val="000000" w:themeColor="text1"/>
          <w:sz w:val="24"/>
          <w:szCs w:val="24"/>
        </w:rPr>
        <w:t>年月日</w:t>
      </w: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ind w:firstLine="562" w:firstLineChars="200"/>
        <w:jc w:val="left"/>
        <w:rPr>
          <w:b/>
          <w:bCs/>
          <w:color w:val="000000" w:themeColor="text1"/>
          <w:sz w:val="28"/>
          <w:szCs w:val="28"/>
        </w:rPr>
      </w:pPr>
      <w:bookmarkStart w:id="97" w:name="_Toc186919434"/>
      <w:r>
        <w:rPr>
          <w:rFonts w:hint="eastAsia"/>
          <w:b/>
          <w:bCs/>
          <w:color w:val="000000" w:themeColor="text1"/>
          <w:sz w:val="28"/>
          <w:szCs w:val="28"/>
        </w:rPr>
        <w:t>二、资格文件</w:t>
      </w:r>
      <w:bookmarkEnd w:id="97"/>
    </w:p>
    <w:p>
      <w:pPr>
        <w:spacing w:line="400" w:lineRule="exact"/>
        <w:ind w:firstLine="480" w:firstLineChars="200"/>
        <w:jc w:val="left"/>
        <w:rPr>
          <w:color w:val="000000" w:themeColor="text1"/>
          <w:sz w:val="24"/>
          <w:szCs w:val="24"/>
        </w:rPr>
      </w:pPr>
    </w:p>
    <w:p>
      <w:pPr>
        <w:tabs>
          <w:tab w:val="left" w:pos="6300"/>
        </w:tabs>
        <w:snapToGrid w:val="0"/>
        <w:spacing w:line="500" w:lineRule="exact"/>
        <w:ind w:firstLine="570"/>
        <w:rPr>
          <w:rFonts w:ascii="宋体"/>
          <w:b/>
          <w:color w:val="000000" w:themeColor="text1"/>
          <w:sz w:val="24"/>
          <w:szCs w:val="24"/>
        </w:rPr>
      </w:pPr>
      <w:r>
        <w:rPr>
          <w:rFonts w:hint="eastAsia" w:ascii="宋体" w:hAnsi="宋体"/>
          <w:b/>
          <w:color w:val="000000" w:themeColor="text1"/>
          <w:sz w:val="24"/>
          <w:szCs w:val="24"/>
        </w:rPr>
        <w:t>（一）营业执照（副本）或事业单位法人证书（副本）复印件</w:t>
      </w:r>
    </w:p>
    <w:p>
      <w:pPr>
        <w:tabs>
          <w:tab w:val="left" w:pos="6300"/>
        </w:tabs>
        <w:snapToGrid w:val="0"/>
        <w:spacing w:line="500" w:lineRule="exact"/>
        <w:rPr>
          <w:rFonts w:ascii="宋体"/>
          <w:color w:val="000000" w:themeColor="text1"/>
          <w:sz w:val="24"/>
          <w:szCs w:val="24"/>
        </w:rPr>
      </w:pPr>
    </w:p>
    <w:p>
      <w:pPr>
        <w:tabs>
          <w:tab w:val="left" w:pos="6300"/>
        </w:tabs>
        <w:snapToGrid w:val="0"/>
        <w:spacing w:line="500" w:lineRule="exact"/>
        <w:ind w:firstLine="570"/>
        <w:rPr>
          <w:rFonts w:ascii="宋体" w:hAnsi="宋体"/>
          <w:b/>
          <w:color w:val="000000" w:themeColor="text1"/>
          <w:sz w:val="24"/>
          <w:szCs w:val="24"/>
        </w:rPr>
      </w:pPr>
      <w:r>
        <w:rPr>
          <w:rFonts w:hint="eastAsia" w:ascii="宋体" w:hAnsi="宋体"/>
          <w:b/>
          <w:color w:val="000000" w:themeColor="text1"/>
          <w:sz w:val="24"/>
          <w:szCs w:val="24"/>
        </w:rPr>
        <w:t>（二）组织机构代码证复印件，税务登记证（副本）复印件</w:t>
      </w:r>
    </w:p>
    <w:p>
      <w:pPr>
        <w:snapToGrid w:val="0"/>
        <w:spacing w:line="440" w:lineRule="exact"/>
        <w:ind w:firstLine="480" w:firstLineChars="200"/>
        <w:rPr>
          <w:rFonts w:ascii="宋体"/>
          <w:color w:val="000000" w:themeColor="text1"/>
          <w:sz w:val="24"/>
          <w:szCs w:val="24"/>
        </w:rPr>
      </w:pPr>
      <w:r>
        <w:rPr>
          <w:rFonts w:hint="eastAsia" w:ascii="宋体" w:hAnsi="宋体"/>
          <w:color w:val="000000" w:themeColor="text1"/>
          <w:sz w:val="24"/>
          <w:szCs w:val="24"/>
        </w:rPr>
        <w:t>说明：投标人按“三证合一”登记制度办理营业执照的，组织机构代码证和税务登记证以投标人所提供的法人营业执照（副本）复印件为准。</w:t>
      </w:r>
    </w:p>
    <w:p>
      <w:pPr>
        <w:tabs>
          <w:tab w:val="left" w:pos="6300"/>
        </w:tabs>
        <w:snapToGrid w:val="0"/>
        <w:spacing w:line="500" w:lineRule="exact"/>
        <w:ind w:firstLine="570"/>
        <w:rPr>
          <w:rFonts w:ascii="宋体"/>
          <w:color w:val="000000" w:themeColor="text1"/>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（三）法定代表人身份证明书（格式）</w:t>
      </w:r>
    </w:p>
    <w:p>
      <w:pPr>
        <w:spacing w:line="400" w:lineRule="exact"/>
        <w:ind w:firstLine="480" w:firstLineChars="200"/>
        <w:jc w:val="left"/>
        <w:rPr>
          <w:color w:val="000000" w:themeColor="text1"/>
          <w:sz w:val="24"/>
          <w:szCs w:val="24"/>
        </w:rPr>
      </w:pPr>
    </w:p>
    <w:p>
      <w:pPr>
        <w:tabs>
          <w:tab w:val="left" w:pos="6300"/>
        </w:tabs>
        <w:snapToGrid w:val="0"/>
        <w:spacing w:line="500" w:lineRule="exact"/>
        <w:rPr>
          <w:rFonts w:ascii="宋体"/>
          <w:color w:val="000000" w:themeColor="text1"/>
          <w:sz w:val="24"/>
        </w:rPr>
      </w:pPr>
      <w:r>
        <w:rPr>
          <w:rFonts w:hint="eastAsia" w:ascii="宋体" w:hAnsi="宋体"/>
          <w:color w:val="000000" w:themeColor="text1"/>
          <w:sz w:val="24"/>
        </w:rPr>
        <w:t>项目名称：</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jc w:val="left"/>
        <w:rPr>
          <w:rFonts w:ascii="宋体"/>
          <w:color w:val="000000" w:themeColor="text1"/>
          <w:sz w:val="24"/>
        </w:rPr>
      </w:pPr>
      <w:r>
        <w:rPr>
          <w:rFonts w:hint="eastAsia" w:ascii="宋体" w:hAnsi="宋体"/>
          <w:color w:val="000000" w:themeColor="text1"/>
          <w:sz w:val="24"/>
        </w:rPr>
        <w:t>致：（招标单位名称）：</w:t>
      </w:r>
    </w:p>
    <w:p>
      <w:pPr>
        <w:tabs>
          <w:tab w:val="left" w:pos="6300"/>
        </w:tabs>
        <w:snapToGrid w:val="0"/>
        <w:spacing w:line="500" w:lineRule="exact"/>
        <w:ind w:firstLine="570"/>
        <w:rPr>
          <w:rFonts w:ascii="宋体"/>
          <w:color w:val="000000" w:themeColor="text1"/>
          <w:sz w:val="24"/>
        </w:rPr>
      </w:pPr>
      <w:r>
        <w:rPr>
          <w:rFonts w:hint="eastAsia" w:ascii="宋体" w:hAnsi="宋体"/>
          <w:color w:val="000000" w:themeColor="text1"/>
          <w:sz w:val="24"/>
        </w:rPr>
        <w:t>（法定代表人姓名）在（投标人名称）任（职务名称）职务，是（投标人名称）的法定代表人。</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r>
        <w:rPr>
          <w:rFonts w:hint="eastAsia" w:ascii="宋体" w:hAnsi="宋体"/>
          <w:color w:val="000000" w:themeColor="text1"/>
          <w:sz w:val="24"/>
        </w:rPr>
        <w:t>特此证明。</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r>
        <w:rPr>
          <w:rFonts w:hint="eastAsia" w:ascii="宋体" w:hAnsi="宋体"/>
          <w:color w:val="000000" w:themeColor="text1"/>
          <w:sz w:val="24"/>
        </w:rPr>
        <w:t>投标人：</w:t>
      </w:r>
    </w:p>
    <w:p>
      <w:pPr>
        <w:tabs>
          <w:tab w:val="left" w:pos="6300"/>
        </w:tabs>
        <w:snapToGrid w:val="0"/>
        <w:spacing w:line="500" w:lineRule="exact"/>
        <w:ind w:firstLine="570"/>
        <w:rPr>
          <w:rFonts w:ascii="宋体"/>
          <w:color w:val="000000" w:themeColor="text1"/>
          <w:sz w:val="24"/>
        </w:rPr>
      </w:pPr>
      <w:r>
        <w:rPr>
          <w:rFonts w:hint="eastAsia" w:ascii="宋体" w:hAnsi="宋体"/>
          <w:color w:val="000000" w:themeColor="text1"/>
          <w:sz w:val="24"/>
        </w:rPr>
        <w:t>　　　　　　　　　　　　　　　　　（签字盖章）</w:t>
      </w:r>
    </w:p>
    <w:p>
      <w:pPr>
        <w:tabs>
          <w:tab w:val="left" w:pos="6300"/>
        </w:tabs>
        <w:snapToGrid w:val="0"/>
        <w:spacing w:line="500" w:lineRule="exact"/>
        <w:ind w:firstLine="570"/>
        <w:rPr>
          <w:rFonts w:ascii="宋体"/>
          <w:color w:val="000000" w:themeColor="text1"/>
          <w:sz w:val="24"/>
        </w:rPr>
      </w:pPr>
      <w:r>
        <w:rPr>
          <w:rFonts w:hint="eastAsia" w:ascii="宋体" w:hAnsi="宋体"/>
          <w:color w:val="000000" w:themeColor="text1"/>
          <w:sz w:val="24"/>
        </w:rPr>
        <w:t>年月日</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r>
        <w:rPr>
          <w:rFonts w:hint="eastAsia" w:ascii="宋体" w:hAnsi="宋体"/>
          <w:color w:val="000000" w:themeColor="text1"/>
          <w:sz w:val="24"/>
        </w:rPr>
        <w:t>（附：法定代表人身份证正反面复印件）</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（四）法定代表人授权委托书（格式）</w:t>
      </w:r>
    </w:p>
    <w:p>
      <w:pPr>
        <w:tabs>
          <w:tab w:val="left" w:pos="6300"/>
        </w:tabs>
        <w:snapToGrid w:val="0"/>
        <w:spacing w:line="500" w:lineRule="exact"/>
        <w:rPr>
          <w:rFonts w:ascii="宋体"/>
          <w:color w:val="000000" w:themeColor="text1"/>
          <w:sz w:val="24"/>
        </w:rPr>
      </w:pPr>
    </w:p>
    <w:p>
      <w:pPr>
        <w:tabs>
          <w:tab w:val="left" w:pos="6300"/>
        </w:tabs>
        <w:snapToGrid w:val="0"/>
        <w:spacing w:line="500" w:lineRule="exact"/>
        <w:rPr>
          <w:rFonts w:ascii="宋体"/>
          <w:color w:val="000000" w:themeColor="text1"/>
          <w:sz w:val="24"/>
        </w:rPr>
      </w:pPr>
      <w:r>
        <w:rPr>
          <w:rFonts w:hint="eastAsia" w:ascii="宋体" w:hAnsi="宋体"/>
          <w:color w:val="000000" w:themeColor="text1"/>
          <w:sz w:val="24"/>
        </w:rPr>
        <w:t>项目名称：</w:t>
      </w:r>
    </w:p>
    <w:p>
      <w:pPr>
        <w:tabs>
          <w:tab w:val="left" w:pos="6300"/>
        </w:tabs>
        <w:snapToGrid w:val="0"/>
        <w:spacing w:line="500" w:lineRule="exact"/>
        <w:rPr>
          <w:rFonts w:ascii="宋体"/>
          <w:color w:val="000000" w:themeColor="text1"/>
          <w:sz w:val="24"/>
        </w:rPr>
      </w:pPr>
    </w:p>
    <w:p>
      <w:pPr>
        <w:tabs>
          <w:tab w:val="left" w:pos="6300"/>
        </w:tabs>
        <w:snapToGrid w:val="0"/>
        <w:spacing w:line="500" w:lineRule="exact"/>
        <w:rPr>
          <w:rFonts w:ascii="宋体"/>
          <w:color w:val="000000" w:themeColor="text1"/>
          <w:sz w:val="24"/>
        </w:rPr>
      </w:pPr>
      <w:r>
        <w:rPr>
          <w:rFonts w:hint="eastAsia" w:ascii="宋体" w:hAnsi="宋体"/>
          <w:color w:val="000000" w:themeColor="text1"/>
          <w:sz w:val="24"/>
        </w:rPr>
        <w:t>致：（招标单位名称）：</w:t>
      </w:r>
    </w:p>
    <w:p>
      <w:pPr>
        <w:tabs>
          <w:tab w:val="left" w:pos="6300"/>
        </w:tabs>
        <w:snapToGrid w:val="0"/>
        <w:spacing w:line="500" w:lineRule="exact"/>
        <w:ind w:firstLine="480" w:firstLineChars="200"/>
        <w:rPr>
          <w:rFonts w:ascii="宋体"/>
          <w:color w:val="000000" w:themeColor="text1"/>
          <w:sz w:val="24"/>
        </w:rPr>
      </w:pPr>
      <w:r>
        <w:rPr>
          <w:rFonts w:hint="eastAsia" w:ascii="宋体" w:hAnsi="宋体"/>
          <w:color w:val="000000" w:themeColor="text1"/>
          <w:sz w:val="24"/>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color w:val="000000" w:themeColor="text1"/>
          <w:sz w:val="24"/>
        </w:rPr>
      </w:pPr>
      <w:r>
        <w:rPr>
          <w:rFonts w:hint="eastAsia" w:ascii="宋体" w:hAnsi="宋体"/>
          <w:color w:val="000000" w:themeColor="text1"/>
          <w:sz w:val="24"/>
        </w:rPr>
        <w:t>我单位对被授权人的签字负全部责任。</w:t>
      </w:r>
    </w:p>
    <w:p>
      <w:pPr>
        <w:tabs>
          <w:tab w:val="left" w:pos="6300"/>
        </w:tabs>
        <w:snapToGrid w:val="0"/>
        <w:spacing w:line="500" w:lineRule="exact"/>
        <w:ind w:firstLine="480" w:firstLineChars="200"/>
        <w:rPr>
          <w:rFonts w:ascii="宋体"/>
          <w:color w:val="000000" w:themeColor="text1"/>
          <w:sz w:val="24"/>
        </w:rPr>
      </w:pPr>
      <w:r>
        <w:rPr>
          <w:rFonts w:hint="eastAsia" w:ascii="宋体" w:hAnsi="宋体"/>
          <w:color w:val="000000" w:themeColor="text1"/>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r>
        <w:rPr>
          <w:rFonts w:hint="eastAsia" w:ascii="宋体" w:hAnsi="宋体"/>
          <w:color w:val="000000" w:themeColor="text1"/>
          <w:sz w:val="24"/>
        </w:rPr>
        <w:t>被授权人：投标人法定代表人：</w:t>
      </w:r>
    </w:p>
    <w:p>
      <w:pPr>
        <w:tabs>
          <w:tab w:val="left" w:pos="6300"/>
        </w:tabs>
        <w:snapToGrid w:val="0"/>
        <w:spacing w:line="500" w:lineRule="exact"/>
        <w:ind w:firstLine="570"/>
        <w:rPr>
          <w:rFonts w:ascii="宋体"/>
          <w:color w:val="000000" w:themeColor="text1"/>
          <w:sz w:val="24"/>
          <w:szCs w:val="28"/>
        </w:rPr>
      </w:pPr>
      <w:r>
        <w:rPr>
          <w:rFonts w:hint="eastAsia" w:ascii="宋体" w:hAnsi="宋体"/>
          <w:color w:val="000000" w:themeColor="text1"/>
          <w:sz w:val="24"/>
          <w:szCs w:val="28"/>
        </w:rPr>
        <w:t>（签字盖章）（签字盖章）</w:t>
      </w:r>
    </w:p>
    <w:p>
      <w:pPr>
        <w:spacing w:line="400" w:lineRule="exact"/>
        <w:ind w:firstLine="1440" w:firstLineChars="600"/>
        <w:jc w:val="left"/>
        <w:rPr>
          <w:color w:val="000000" w:themeColor="text1"/>
          <w:sz w:val="24"/>
          <w:szCs w:val="24"/>
        </w:rPr>
      </w:pPr>
      <w:r>
        <w:rPr>
          <w:rFonts w:hint="eastAsia" w:ascii="宋体" w:hAnsi="宋体"/>
          <w:color w:val="000000" w:themeColor="text1"/>
          <w:sz w:val="24"/>
        </w:rPr>
        <w:t>年月日</w:t>
      </w:r>
      <w:r>
        <w:rPr>
          <w:rFonts w:hint="eastAsia"/>
          <w:color w:val="000000" w:themeColor="text1"/>
          <w:sz w:val="24"/>
          <w:szCs w:val="24"/>
        </w:rPr>
        <w:t>　　　　　　　　　　　　　　　　</w:t>
      </w:r>
      <w:r>
        <w:rPr>
          <w:rFonts w:hint="eastAsia" w:ascii="宋体" w:hAnsi="宋体"/>
          <w:color w:val="000000" w:themeColor="text1"/>
          <w:sz w:val="24"/>
        </w:rPr>
        <w:t>年月日</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r>
        <w:rPr>
          <w:rFonts w:hint="eastAsia" w:ascii="宋体" w:hAnsi="宋体"/>
          <w:color w:val="000000" w:themeColor="text1"/>
          <w:sz w:val="24"/>
        </w:rPr>
        <w:t>（附：被授权人身份证正反面复印件）</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p>
    <w:p>
      <w:pPr>
        <w:spacing w:line="400" w:lineRule="exact"/>
        <w:ind w:firstLine="480" w:firstLineChars="200"/>
        <w:jc w:val="left"/>
        <w:rPr>
          <w:rFonts w:ascii="宋体"/>
          <w:color w:val="000000" w:themeColor="text1"/>
          <w:sz w:val="24"/>
        </w:rPr>
      </w:pPr>
    </w:p>
    <w:p>
      <w:pPr>
        <w:spacing w:line="400" w:lineRule="exact"/>
        <w:ind w:firstLine="480" w:firstLineChars="200"/>
        <w:jc w:val="left"/>
        <w:rPr>
          <w:rFonts w:ascii="宋体"/>
          <w:color w:val="000000" w:themeColor="text1"/>
          <w:sz w:val="24"/>
        </w:rPr>
      </w:pPr>
    </w:p>
    <w:p>
      <w:pPr>
        <w:spacing w:line="400" w:lineRule="exact"/>
        <w:ind w:firstLine="480" w:firstLineChars="200"/>
        <w:jc w:val="left"/>
        <w:rPr>
          <w:rFonts w:ascii="宋体"/>
          <w:color w:val="000000" w:themeColor="text1"/>
          <w:sz w:val="24"/>
        </w:rPr>
      </w:pPr>
    </w:p>
    <w:p>
      <w:pPr>
        <w:spacing w:line="400" w:lineRule="exact"/>
        <w:ind w:firstLine="480" w:firstLineChars="200"/>
        <w:jc w:val="left"/>
        <w:rPr>
          <w:rFonts w:ascii="宋体"/>
          <w:color w:val="000000" w:themeColor="text1"/>
          <w:sz w:val="24"/>
        </w:rPr>
      </w:pPr>
    </w:p>
    <w:p>
      <w:pPr>
        <w:spacing w:line="400" w:lineRule="exact"/>
        <w:ind w:firstLine="480" w:firstLineChars="200"/>
        <w:jc w:val="left"/>
        <w:rPr>
          <w:rFonts w:ascii="宋体"/>
          <w:color w:val="000000" w:themeColor="text1"/>
          <w:sz w:val="24"/>
        </w:rPr>
      </w:pPr>
    </w:p>
    <w:p>
      <w:pPr>
        <w:spacing w:line="400" w:lineRule="exact"/>
        <w:ind w:firstLine="480" w:firstLineChars="200"/>
        <w:jc w:val="left"/>
        <w:rPr>
          <w:rFonts w:ascii="宋体"/>
          <w:color w:val="000000" w:themeColor="text1"/>
          <w:sz w:val="24"/>
        </w:rPr>
      </w:pPr>
    </w:p>
    <w:p>
      <w:pPr>
        <w:spacing w:line="400" w:lineRule="exact"/>
        <w:ind w:firstLine="480" w:firstLineChars="200"/>
        <w:jc w:val="left"/>
        <w:rPr>
          <w:rFonts w:ascii="宋体"/>
          <w:color w:val="000000" w:themeColor="text1"/>
          <w:sz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（五）诚信声明</w:t>
      </w:r>
    </w:p>
    <w:p>
      <w:pPr>
        <w:spacing w:line="400" w:lineRule="exact"/>
        <w:ind w:firstLine="480" w:firstLineChars="200"/>
        <w:jc w:val="left"/>
        <w:rPr>
          <w:color w:val="000000" w:themeColor="text1"/>
          <w:sz w:val="24"/>
          <w:szCs w:val="24"/>
        </w:rPr>
      </w:pPr>
    </w:p>
    <w:p>
      <w:pPr>
        <w:tabs>
          <w:tab w:val="left" w:pos="6300"/>
        </w:tabs>
        <w:snapToGrid w:val="0"/>
        <w:spacing w:line="500" w:lineRule="exact"/>
        <w:rPr>
          <w:rFonts w:ascii="宋体"/>
          <w:color w:val="000000" w:themeColor="text1"/>
          <w:sz w:val="24"/>
        </w:rPr>
      </w:pPr>
      <w:r>
        <w:rPr>
          <w:rFonts w:hint="eastAsia" w:ascii="宋体" w:hAnsi="宋体"/>
          <w:color w:val="000000" w:themeColor="text1"/>
          <w:sz w:val="24"/>
        </w:rPr>
        <w:t>项目名称：</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rPr>
          <w:rFonts w:ascii="宋体"/>
          <w:color w:val="000000" w:themeColor="text1"/>
          <w:sz w:val="24"/>
        </w:rPr>
      </w:pPr>
      <w:r>
        <w:rPr>
          <w:rFonts w:hint="eastAsia" w:ascii="宋体" w:hAnsi="宋体"/>
          <w:color w:val="000000" w:themeColor="text1"/>
          <w:sz w:val="24"/>
        </w:rPr>
        <w:t>致：（招标单位名称）：</w:t>
      </w:r>
    </w:p>
    <w:p>
      <w:pPr>
        <w:tabs>
          <w:tab w:val="left" w:pos="6300"/>
        </w:tabs>
        <w:snapToGrid w:val="0"/>
        <w:spacing w:line="500" w:lineRule="exact"/>
        <w:ind w:firstLine="480" w:firstLineChars="200"/>
        <w:rPr>
          <w:rFonts w:ascii="宋体"/>
          <w:color w:val="000000" w:themeColor="text1"/>
          <w:sz w:val="24"/>
        </w:rPr>
      </w:pPr>
      <w:r>
        <w:rPr>
          <w:rFonts w:hint="eastAsia" w:ascii="宋体" w:hAnsi="宋体"/>
          <w:color w:val="000000" w:themeColor="text1"/>
          <w:sz w:val="24"/>
        </w:rPr>
        <w:t>（投标人名称）郑重声明，我公司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宋体"/>
          <w:color w:val="000000" w:themeColor="text1"/>
          <w:sz w:val="24"/>
        </w:rPr>
      </w:pPr>
      <w:r>
        <w:rPr>
          <w:rFonts w:hint="eastAsia" w:ascii="宋体" w:hAnsi="宋体"/>
          <w:color w:val="000000" w:themeColor="text1"/>
          <w:sz w:val="24"/>
        </w:rPr>
        <w:t>特此声明。</w:t>
      </w: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firstLine="570"/>
        <w:rPr>
          <w:rFonts w:ascii="宋体"/>
          <w:color w:val="000000" w:themeColor="text1"/>
          <w:sz w:val="24"/>
        </w:rPr>
      </w:pPr>
    </w:p>
    <w:p>
      <w:pPr>
        <w:tabs>
          <w:tab w:val="left" w:pos="6300"/>
        </w:tabs>
        <w:snapToGrid w:val="0"/>
        <w:spacing w:line="500" w:lineRule="exact"/>
        <w:ind w:right="1384" w:firstLine="570"/>
        <w:jc w:val="center"/>
        <w:rPr>
          <w:rFonts w:ascii="宋体"/>
          <w:color w:val="000000" w:themeColor="text1"/>
          <w:sz w:val="24"/>
        </w:rPr>
      </w:pPr>
      <w:r>
        <w:rPr>
          <w:rFonts w:hint="eastAsia" w:ascii="宋体" w:hAnsi="宋体"/>
          <w:color w:val="000000" w:themeColor="text1"/>
          <w:sz w:val="24"/>
        </w:rPr>
        <w:t>　　　　　　　　　　　　　　　投标人：</w:t>
      </w:r>
    </w:p>
    <w:p>
      <w:pPr>
        <w:tabs>
          <w:tab w:val="left" w:pos="6300"/>
        </w:tabs>
        <w:snapToGrid w:val="0"/>
        <w:spacing w:line="500" w:lineRule="exact"/>
        <w:ind w:right="1384"/>
        <w:rPr>
          <w:rFonts w:ascii="宋体"/>
          <w:color w:val="000000" w:themeColor="text1"/>
          <w:sz w:val="24"/>
        </w:rPr>
      </w:pPr>
      <w:r>
        <w:rPr>
          <w:rFonts w:hint="eastAsia" w:ascii="宋体" w:hAnsi="宋体"/>
          <w:color w:val="000000" w:themeColor="text1"/>
          <w:sz w:val="24"/>
        </w:rPr>
        <w:t>　　　　　　　　　　　　　　　　　　　　（签字盖章）</w:t>
      </w:r>
    </w:p>
    <w:p>
      <w:pPr>
        <w:tabs>
          <w:tab w:val="left" w:pos="6300"/>
        </w:tabs>
        <w:snapToGrid w:val="0"/>
        <w:spacing w:line="500" w:lineRule="exact"/>
        <w:ind w:right="960" w:firstLine="570"/>
        <w:jc w:val="right"/>
        <w:rPr>
          <w:rFonts w:ascii="宋体"/>
          <w:color w:val="000000" w:themeColor="text1"/>
          <w:sz w:val="24"/>
        </w:rPr>
      </w:pPr>
      <w:r>
        <w:rPr>
          <w:rFonts w:hint="eastAsia" w:ascii="宋体" w:hAnsi="宋体"/>
          <w:color w:val="000000" w:themeColor="text1"/>
          <w:sz w:val="24"/>
        </w:rPr>
        <w:t>年月日</w:t>
      </w:r>
    </w:p>
    <w:p>
      <w:pPr>
        <w:tabs>
          <w:tab w:val="left" w:pos="6300"/>
        </w:tabs>
        <w:snapToGrid w:val="0"/>
        <w:spacing w:line="500" w:lineRule="exact"/>
        <w:ind w:right="960" w:firstLine="570"/>
        <w:jc w:val="right"/>
        <w:rPr>
          <w:rFonts w:ascii="宋体"/>
          <w:color w:val="000000" w:themeColor="text1"/>
          <w:sz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tabs>
          <w:tab w:val="left" w:pos="6300"/>
        </w:tabs>
        <w:snapToGrid w:val="0"/>
        <w:spacing w:line="500" w:lineRule="exact"/>
        <w:ind w:firstLine="480" w:firstLineChars="200"/>
        <w:rPr>
          <w:rFonts w:ascii="宋体"/>
          <w:color w:val="000000" w:themeColor="text1"/>
          <w:sz w:val="24"/>
          <w:szCs w:val="24"/>
        </w:rPr>
      </w:pPr>
      <w:r>
        <w:rPr>
          <w:rFonts w:hint="eastAsia" w:ascii="宋体" w:hAnsi="宋体"/>
          <w:color w:val="000000" w:themeColor="text1"/>
          <w:sz w:val="24"/>
          <w:szCs w:val="24"/>
        </w:rPr>
        <w:t>（六）上一年度资产负债表、利润表、现金流量表复印件。</w:t>
      </w:r>
    </w:p>
    <w:p>
      <w:pPr>
        <w:tabs>
          <w:tab w:val="left" w:pos="6300"/>
        </w:tabs>
        <w:snapToGrid w:val="0"/>
        <w:spacing w:line="500" w:lineRule="exact"/>
        <w:ind w:firstLine="480" w:firstLineChars="200"/>
        <w:rPr>
          <w:rFonts w:ascii="宋体"/>
          <w:color w:val="000000" w:themeColor="text1"/>
          <w:sz w:val="24"/>
          <w:szCs w:val="24"/>
        </w:rPr>
      </w:pPr>
      <w:r>
        <w:rPr>
          <w:rFonts w:hint="eastAsia" w:ascii="宋体" w:hAnsi="宋体"/>
          <w:color w:val="000000" w:themeColor="text1"/>
          <w:sz w:val="24"/>
          <w:szCs w:val="24"/>
        </w:rPr>
        <w:t>（七），投标人缴纳税收的证明材料，投标人（或法定代表人和法定代表人授权代表）缴纳社会保险的证明材料。</w:t>
      </w:r>
    </w:p>
    <w:p>
      <w:pPr>
        <w:tabs>
          <w:tab w:val="left" w:pos="6300"/>
        </w:tabs>
        <w:snapToGrid w:val="0"/>
        <w:spacing w:line="500" w:lineRule="exact"/>
        <w:ind w:firstLine="480" w:firstLineChars="200"/>
        <w:rPr>
          <w:rFonts w:ascii="宋体"/>
          <w:color w:val="000000" w:themeColor="text1"/>
          <w:sz w:val="24"/>
          <w:szCs w:val="24"/>
        </w:rPr>
      </w:pPr>
      <w:r>
        <w:rPr>
          <w:rFonts w:hint="eastAsia" w:ascii="宋体" w:hAnsi="宋体"/>
          <w:color w:val="000000" w:themeColor="text1"/>
          <w:sz w:val="24"/>
          <w:szCs w:val="24"/>
        </w:rPr>
        <w:t>（八）廉洁承诺书</w:t>
      </w:r>
      <w:r>
        <w:rPr>
          <w:rFonts w:hint="eastAsia" w:ascii="宋体" w:hAnsi="宋体" w:cs="宋体"/>
          <w:color w:val="000000" w:themeColor="text1"/>
          <w:kern w:val="0"/>
          <w:sz w:val="24"/>
          <w:szCs w:val="24"/>
        </w:rPr>
        <w:t>与</w:t>
      </w:r>
      <w:r>
        <w:rPr>
          <w:rFonts w:hint="eastAsia" w:ascii="宋体" w:hAnsi="宋体"/>
          <w:color w:val="000000" w:themeColor="text1"/>
          <w:sz w:val="24"/>
          <w:szCs w:val="24"/>
        </w:rPr>
        <w:t>信用中国网站（</w:t>
      </w:r>
      <w:r>
        <w:rPr>
          <w:rFonts w:ascii="宋体" w:hAnsi="宋体"/>
          <w:color w:val="000000" w:themeColor="text1"/>
          <w:sz w:val="24"/>
          <w:szCs w:val="24"/>
        </w:rPr>
        <w:t>www.creditchina.gov.cn</w:t>
      </w:r>
      <w:r>
        <w:rPr>
          <w:rFonts w:hint="eastAsia" w:ascii="宋体" w:hAnsi="宋体"/>
          <w:color w:val="000000" w:themeColor="text1"/>
          <w:sz w:val="24"/>
          <w:szCs w:val="24"/>
        </w:rPr>
        <w:t>）“信用信息”（包括“失信被执行人”及“重大税收违法案件当事人名单”）及“行政处罚”查询结果以及中国政府采购网（</w:t>
      </w:r>
      <w:r>
        <w:rPr>
          <w:rFonts w:ascii="宋体" w:hAnsi="宋体"/>
          <w:color w:val="000000" w:themeColor="text1"/>
          <w:sz w:val="24"/>
          <w:szCs w:val="24"/>
        </w:rPr>
        <w:t>www.ccgp.gov.cn</w:t>
      </w:r>
      <w:r>
        <w:rPr>
          <w:rFonts w:hint="eastAsia" w:ascii="宋体" w:hAnsi="宋体"/>
          <w:color w:val="000000" w:themeColor="text1"/>
          <w:sz w:val="24"/>
          <w:szCs w:val="24"/>
        </w:rPr>
        <w:t>）“政府采购严重违法失信行为纪录名单”查询结果（上述两个网站查询结果网页打印件并加盖投标人公章）。查询结果为本项目采购公告发布之日起至投标截止时间前</w:t>
      </w:r>
    </w:p>
    <w:p>
      <w:pPr>
        <w:tabs>
          <w:tab w:val="left" w:pos="6300"/>
        </w:tabs>
        <w:snapToGrid w:val="0"/>
        <w:spacing w:line="500" w:lineRule="exact"/>
        <w:ind w:firstLine="360" w:firstLineChars="150"/>
        <w:rPr>
          <w:rFonts w:ascii="宋体"/>
          <w:color w:val="000000" w:themeColor="text1"/>
          <w:sz w:val="24"/>
        </w:rPr>
      </w:pPr>
      <w:r>
        <w:rPr>
          <w:rFonts w:hint="eastAsia" w:ascii="宋体" w:hAnsi="宋体"/>
          <w:color w:val="000000" w:themeColor="text1"/>
          <w:sz w:val="24"/>
          <w:szCs w:val="24"/>
        </w:rPr>
        <w:t>（九）特定资格条件证明文件</w:t>
      </w: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ind w:firstLine="562" w:firstLineChars="200"/>
        <w:jc w:val="left"/>
        <w:rPr>
          <w:b/>
          <w:bCs/>
          <w:color w:val="000000" w:themeColor="text1"/>
          <w:sz w:val="28"/>
          <w:szCs w:val="28"/>
        </w:rPr>
      </w:pPr>
      <w:bookmarkStart w:id="98" w:name="_Toc186919435"/>
      <w:r>
        <w:rPr>
          <w:rFonts w:hint="eastAsia"/>
          <w:b/>
          <w:bCs/>
          <w:color w:val="000000" w:themeColor="text1"/>
          <w:sz w:val="28"/>
          <w:szCs w:val="28"/>
        </w:rPr>
        <w:t>三、商务文件</w:t>
      </w:r>
      <w:bookmarkEnd w:id="98"/>
    </w:p>
    <w:p>
      <w:pPr>
        <w:spacing w:line="400" w:lineRule="exact"/>
        <w:ind w:firstLine="482" w:firstLineChars="200"/>
        <w:jc w:val="left"/>
        <w:rPr>
          <w:b/>
          <w:color w:val="000000" w:themeColor="text1"/>
          <w:sz w:val="24"/>
          <w:szCs w:val="24"/>
        </w:rPr>
      </w:pPr>
      <w:r>
        <w:rPr>
          <w:rFonts w:hint="eastAsia"/>
          <w:b/>
          <w:color w:val="000000" w:themeColor="text1"/>
          <w:sz w:val="24"/>
          <w:szCs w:val="24"/>
        </w:rPr>
        <w:t>（一）投标函（格式）</w:t>
      </w:r>
    </w:p>
    <w:p>
      <w:pPr>
        <w:spacing w:line="500" w:lineRule="exact"/>
        <w:rPr>
          <w:rFonts w:ascii="宋体"/>
          <w:color w:val="000000" w:themeColor="text1"/>
          <w:sz w:val="24"/>
          <w:szCs w:val="28"/>
          <w:u w:val="single"/>
        </w:rPr>
      </w:pPr>
      <w:r>
        <w:rPr>
          <w:rFonts w:hint="eastAsia" w:ascii="宋体" w:hAnsi="宋体"/>
          <w:color w:val="000000" w:themeColor="text1"/>
          <w:sz w:val="24"/>
          <w:szCs w:val="28"/>
        </w:rPr>
        <w:t>项目名称：</w:t>
      </w:r>
    </w:p>
    <w:p>
      <w:pPr>
        <w:spacing w:line="500" w:lineRule="exact"/>
        <w:rPr>
          <w:rFonts w:ascii="宋体"/>
          <w:color w:val="000000" w:themeColor="text1"/>
          <w:sz w:val="24"/>
          <w:szCs w:val="28"/>
        </w:rPr>
      </w:pPr>
    </w:p>
    <w:p>
      <w:pPr>
        <w:tabs>
          <w:tab w:val="left" w:pos="6300"/>
        </w:tabs>
        <w:snapToGrid w:val="0"/>
        <w:spacing w:line="500" w:lineRule="exact"/>
        <w:rPr>
          <w:rFonts w:ascii="宋体"/>
          <w:color w:val="000000" w:themeColor="text1"/>
          <w:sz w:val="24"/>
          <w:szCs w:val="28"/>
        </w:rPr>
      </w:pPr>
      <w:r>
        <w:rPr>
          <w:rFonts w:hint="eastAsia" w:ascii="宋体" w:hAnsi="宋体"/>
          <w:color w:val="000000" w:themeColor="text1"/>
          <w:sz w:val="24"/>
          <w:szCs w:val="28"/>
        </w:rPr>
        <w:t>致：（招标单位名称）：</w:t>
      </w:r>
    </w:p>
    <w:p>
      <w:pPr>
        <w:snapToGrid w:val="0"/>
        <w:spacing w:beforeLines="50"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（投标人名称）系中华人民共和国合法企业，注册地址：。我方就参加本次投标有关事项郑重声明如下：</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一、我方完全理解并接受该项目招标文件所有要求。</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三、我方承诺按照招标文件要求，提供招标项目的联合经营服务。</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四、我方按招标文件要求提交的投标文件为：投标文件正本</w:t>
      </w:r>
      <w:r>
        <w:rPr>
          <w:rFonts w:ascii="宋体" w:hAnsi="宋体"/>
          <w:color w:val="000000" w:themeColor="text1"/>
          <w:sz w:val="24"/>
          <w:szCs w:val="28"/>
        </w:rPr>
        <w:t>1</w:t>
      </w:r>
      <w:r>
        <w:rPr>
          <w:rFonts w:hint="eastAsia" w:ascii="宋体" w:hAnsi="宋体"/>
          <w:color w:val="000000" w:themeColor="text1"/>
          <w:sz w:val="24"/>
          <w:szCs w:val="28"/>
        </w:rPr>
        <w:t>份，副本份，电子文档份。</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五、我方承诺：本次投标的投标有效期为</w:t>
      </w:r>
      <w:r>
        <w:rPr>
          <w:rFonts w:ascii="宋体" w:hAnsi="宋体"/>
          <w:color w:val="000000" w:themeColor="text1"/>
          <w:sz w:val="24"/>
          <w:szCs w:val="28"/>
        </w:rPr>
        <w:t>90</w:t>
      </w:r>
      <w:r>
        <w:rPr>
          <w:rFonts w:hint="eastAsia" w:ascii="宋体" w:hAnsi="宋体"/>
          <w:color w:val="000000" w:themeColor="text1"/>
          <w:sz w:val="24"/>
          <w:szCs w:val="28"/>
        </w:rPr>
        <w:t>天。</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八、我方未</w:t>
      </w:r>
      <w:r>
        <w:rPr>
          <w:rFonts w:hint="eastAsia" w:ascii="宋体" w:hAnsi="宋体"/>
          <w:color w:val="000000" w:themeColor="text1"/>
          <w:sz w:val="24"/>
          <w:szCs w:val="24"/>
        </w:rPr>
        <w:t>为联合经营项目提供整体设计、规范编制或者项目管理、监理、检测等服务。</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九、我方理解，最高报价不是中标的唯一条件。</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十、我方同意按有关规定及招标文件要求，缴纳足额投标保证金。</w:t>
      </w:r>
    </w:p>
    <w:p>
      <w:pPr>
        <w:tabs>
          <w:tab w:val="left" w:pos="6300"/>
        </w:tabs>
        <w:snapToGrid w:val="0"/>
        <w:spacing w:line="500" w:lineRule="exact"/>
        <w:ind w:firstLine="480" w:firstLineChars="200"/>
        <w:rPr>
          <w:rFonts w:ascii="宋体"/>
          <w:color w:val="000000" w:themeColor="text1"/>
          <w:sz w:val="24"/>
          <w:szCs w:val="28"/>
        </w:rPr>
      </w:pPr>
      <w:r>
        <w:rPr>
          <w:rFonts w:hint="eastAsia" w:ascii="宋体" w:hAnsi="宋体"/>
          <w:color w:val="000000" w:themeColor="text1"/>
          <w:sz w:val="24"/>
          <w:szCs w:val="28"/>
        </w:rPr>
        <w:t>十一、若我方中标，愿意按有关规定及招标文件要求缴纳招标代理服务费。</w:t>
      </w:r>
    </w:p>
    <w:p>
      <w:pPr>
        <w:tabs>
          <w:tab w:val="left" w:pos="6300"/>
        </w:tabs>
        <w:snapToGrid w:val="0"/>
        <w:spacing w:line="500" w:lineRule="exact"/>
        <w:ind w:right="1384" w:firstLine="570"/>
        <w:jc w:val="center"/>
        <w:rPr>
          <w:rFonts w:ascii="宋体"/>
          <w:color w:val="000000" w:themeColor="text1"/>
          <w:sz w:val="24"/>
        </w:rPr>
      </w:pPr>
      <w:r>
        <w:rPr>
          <w:rFonts w:hint="eastAsia" w:ascii="宋体" w:hAnsi="宋体"/>
          <w:color w:val="000000" w:themeColor="text1"/>
          <w:sz w:val="24"/>
        </w:rPr>
        <w:t>　　　　　　　　　　　　　　　投标人：</w:t>
      </w:r>
    </w:p>
    <w:p>
      <w:pPr>
        <w:tabs>
          <w:tab w:val="left" w:pos="6300"/>
        </w:tabs>
        <w:snapToGrid w:val="0"/>
        <w:spacing w:line="500" w:lineRule="exact"/>
        <w:ind w:right="1384"/>
        <w:rPr>
          <w:rFonts w:ascii="宋体"/>
          <w:color w:val="000000" w:themeColor="text1"/>
          <w:sz w:val="24"/>
        </w:rPr>
      </w:pPr>
      <w:r>
        <w:rPr>
          <w:rFonts w:hint="eastAsia" w:ascii="宋体" w:hAnsi="宋体"/>
          <w:color w:val="000000" w:themeColor="text1"/>
          <w:sz w:val="24"/>
        </w:rPr>
        <w:t>　　　　　　　　　　　　　　　　　　　　（签字盖章）</w:t>
      </w:r>
    </w:p>
    <w:p>
      <w:pPr>
        <w:tabs>
          <w:tab w:val="left" w:pos="6300"/>
        </w:tabs>
        <w:snapToGrid w:val="0"/>
        <w:spacing w:line="500" w:lineRule="exact"/>
        <w:ind w:right="960" w:firstLine="570"/>
        <w:jc w:val="right"/>
        <w:rPr>
          <w:rFonts w:ascii="宋体"/>
          <w:color w:val="000000" w:themeColor="text1"/>
          <w:sz w:val="24"/>
          <w:szCs w:val="28"/>
        </w:rPr>
      </w:pPr>
      <w:r>
        <w:rPr>
          <w:rFonts w:hint="eastAsia" w:ascii="宋体" w:hAnsi="宋体"/>
          <w:color w:val="000000" w:themeColor="text1"/>
          <w:sz w:val="24"/>
        </w:rPr>
        <w:t>年月日</w:t>
      </w:r>
    </w:p>
    <w:p>
      <w:pPr>
        <w:spacing w:line="400" w:lineRule="exact"/>
        <w:ind w:firstLine="482" w:firstLineChars="200"/>
        <w:jc w:val="left"/>
        <w:rPr>
          <w:b/>
          <w:color w:val="000000" w:themeColor="text1"/>
          <w:sz w:val="24"/>
          <w:szCs w:val="24"/>
        </w:rPr>
      </w:pPr>
      <w:bookmarkStart w:id="99" w:name="_Toc295233020"/>
      <w:bookmarkStart w:id="100" w:name="_Toc422381000"/>
      <w:bookmarkStart w:id="101" w:name="_Toc28427"/>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（二）投标人基本情况表</w:t>
      </w:r>
      <w:bookmarkEnd w:id="99"/>
      <w:bookmarkEnd w:id="100"/>
      <w:bookmarkEnd w:id="101"/>
      <w:r>
        <w:rPr>
          <w:rFonts w:hint="eastAsia"/>
          <w:b/>
          <w:color w:val="000000" w:themeColor="text1"/>
          <w:sz w:val="24"/>
          <w:szCs w:val="24"/>
        </w:rPr>
        <w:t>及商务承诺</w:t>
      </w:r>
    </w:p>
    <w:p>
      <w:pPr>
        <w:spacing w:line="460" w:lineRule="exact"/>
        <w:jc w:val="left"/>
        <w:rPr>
          <w:rFonts w:ascii="宋体"/>
          <w:b/>
          <w:color w:val="000000" w:themeColor="text1"/>
          <w:sz w:val="24"/>
          <w:szCs w:val="24"/>
        </w:rPr>
      </w:pPr>
      <w:r>
        <w:rPr>
          <w:rFonts w:ascii="宋体" w:hAnsi="宋体"/>
          <w:b/>
          <w:color w:val="000000" w:themeColor="text1"/>
          <w:sz w:val="24"/>
          <w:szCs w:val="24"/>
        </w:rPr>
        <w:t>1.</w:t>
      </w:r>
      <w:r>
        <w:rPr>
          <w:rFonts w:hint="eastAsia" w:ascii="宋体" w:hAnsi="宋体"/>
          <w:b/>
          <w:color w:val="000000" w:themeColor="text1"/>
          <w:sz w:val="24"/>
          <w:szCs w:val="24"/>
        </w:rPr>
        <w:t>投标人基本情况表</w:t>
      </w:r>
    </w:p>
    <w:tbl>
      <w:tblPr>
        <w:tblStyle w:val="43"/>
        <w:tblW w:w="9070"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152"/>
        <w:gridCol w:w="1420"/>
        <w:gridCol w:w="810"/>
        <w:gridCol w:w="706"/>
        <w:gridCol w:w="841"/>
        <w:gridCol w:w="806"/>
        <w:gridCol w:w="1355"/>
      </w:tblGrid>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tcBorders>
              <w:top w:val="thinThickSmallGap" w:color="auto" w:sz="12" w:space="0"/>
            </w:tcBorders>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投标人名称</w:t>
            </w:r>
          </w:p>
        </w:tc>
        <w:tc>
          <w:tcPr>
            <w:tcW w:w="7090" w:type="dxa"/>
            <w:gridSpan w:val="7"/>
            <w:tcBorders>
              <w:top w:val="thinThickSmallGap" w:color="auto" w:sz="12" w:space="0"/>
            </w:tcBorders>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注册地址</w:t>
            </w:r>
          </w:p>
        </w:tc>
        <w:tc>
          <w:tcPr>
            <w:tcW w:w="4088" w:type="dxa"/>
            <w:gridSpan w:val="4"/>
            <w:vAlign w:val="center"/>
          </w:tcPr>
          <w:p>
            <w:pPr>
              <w:spacing w:line="460" w:lineRule="exact"/>
              <w:jc w:val="center"/>
              <w:rPr>
                <w:rFonts w:ascii="宋体"/>
                <w:color w:val="000000" w:themeColor="text1"/>
                <w:sz w:val="24"/>
                <w:szCs w:val="24"/>
              </w:rPr>
            </w:pPr>
          </w:p>
        </w:tc>
        <w:tc>
          <w:tcPr>
            <w:tcW w:w="1647" w:type="dxa"/>
            <w:gridSpan w:val="2"/>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邮政编码</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Merge w:val="restart"/>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联系方式</w:t>
            </w:r>
          </w:p>
        </w:tc>
        <w:tc>
          <w:tcPr>
            <w:tcW w:w="1152"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联系人</w:t>
            </w:r>
          </w:p>
        </w:tc>
        <w:tc>
          <w:tcPr>
            <w:tcW w:w="2936" w:type="dxa"/>
            <w:gridSpan w:val="3"/>
            <w:vAlign w:val="center"/>
          </w:tcPr>
          <w:p>
            <w:pPr>
              <w:spacing w:line="460" w:lineRule="exact"/>
              <w:jc w:val="center"/>
              <w:rPr>
                <w:rFonts w:ascii="宋体"/>
                <w:color w:val="000000" w:themeColor="text1"/>
                <w:sz w:val="24"/>
                <w:szCs w:val="24"/>
              </w:rPr>
            </w:pPr>
          </w:p>
        </w:tc>
        <w:tc>
          <w:tcPr>
            <w:tcW w:w="1647" w:type="dxa"/>
            <w:gridSpan w:val="2"/>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电话</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exact"/>
          <w:jc w:val="center"/>
        </w:trPr>
        <w:tc>
          <w:tcPr>
            <w:tcW w:w="1980" w:type="dxa"/>
            <w:vMerge w:val="continue"/>
            <w:vAlign w:val="center"/>
          </w:tcPr>
          <w:p>
            <w:pPr>
              <w:spacing w:line="460" w:lineRule="exact"/>
              <w:jc w:val="center"/>
              <w:rPr>
                <w:rFonts w:ascii="宋体"/>
                <w:color w:val="000000" w:themeColor="text1"/>
                <w:sz w:val="24"/>
                <w:szCs w:val="24"/>
              </w:rPr>
            </w:pPr>
          </w:p>
        </w:tc>
        <w:tc>
          <w:tcPr>
            <w:tcW w:w="1152"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传真</w:t>
            </w:r>
          </w:p>
        </w:tc>
        <w:tc>
          <w:tcPr>
            <w:tcW w:w="2936" w:type="dxa"/>
            <w:gridSpan w:val="3"/>
            <w:vAlign w:val="center"/>
          </w:tcPr>
          <w:p>
            <w:pPr>
              <w:spacing w:line="460" w:lineRule="exact"/>
              <w:jc w:val="center"/>
              <w:rPr>
                <w:rFonts w:ascii="宋体"/>
                <w:color w:val="000000" w:themeColor="text1"/>
                <w:sz w:val="24"/>
                <w:szCs w:val="24"/>
              </w:rPr>
            </w:pPr>
          </w:p>
        </w:tc>
        <w:tc>
          <w:tcPr>
            <w:tcW w:w="1647" w:type="dxa"/>
            <w:gridSpan w:val="2"/>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网址</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组织结构</w:t>
            </w:r>
          </w:p>
        </w:tc>
        <w:tc>
          <w:tcPr>
            <w:tcW w:w="7090" w:type="dxa"/>
            <w:gridSpan w:val="7"/>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法定代表人</w:t>
            </w:r>
          </w:p>
        </w:tc>
        <w:tc>
          <w:tcPr>
            <w:tcW w:w="1152"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姓名</w:t>
            </w:r>
          </w:p>
        </w:tc>
        <w:tc>
          <w:tcPr>
            <w:tcW w:w="1420" w:type="dxa"/>
            <w:vAlign w:val="center"/>
          </w:tcPr>
          <w:p>
            <w:pPr>
              <w:spacing w:line="460" w:lineRule="exact"/>
              <w:jc w:val="center"/>
              <w:rPr>
                <w:rFonts w:ascii="宋体"/>
                <w:color w:val="000000" w:themeColor="text1"/>
                <w:sz w:val="24"/>
                <w:szCs w:val="24"/>
              </w:rPr>
            </w:pPr>
          </w:p>
        </w:tc>
        <w:tc>
          <w:tcPr>
            <w:tcW w:w="1516" w:type="dxa"/>
            <w:gridSpan w:val="2"/>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技术职称</w:t>
            </w:r>
          </w:p>
        </w:tc>
        <w:tc>
          <w:tcPr>
            <w:tcW w:w="841" w:type="dxa"/>
            <w:vAlign w:val="center"/>
          </w:tcPr>
          <w:p>
            <w:pPr>
              <w:spacing w:line="460" w:lineRule="exact"/>
              <w:jc w:val="center"/>
              <w:rPr>
                <w:rFonts w:ascii="宋体"/>
                <w:color w:val="000000" w:themeColor="text1"/>
                <w:sz w:val="24"/>
                <w:szCs w:val="24"/>
              </w:rPr>
            </w:pPr>
          </w:p>
        </w:tc>
        <w:tc>
          <w:tcPr>
            <w:tcW w:w="806"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电话</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技术负责人</w:t>
            </w:r>
          </w:p>
        </w:tc>
        <w:tc>
          <w:tcPr>
            <w:tcW w:w="1152"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姓名</w:t>
            </w:r>
          </w:p>
        </w:tc>
        <w:tc>
          <w:tcPr>
            <w:tcW w:w="1420" w:type="dxa"/>
            <w:vAlign w:val="center"/>
          </w:tcPr>
          <w:p>
            <w:pPr>
              <w:spacing w:line="460" w:lineRule="exact"/>
              <w:jc w:val="center"/>
              <w:rPr>
                <w:rFonts w:ascii="宋体"/>
                <w:color w:val="000000" w:themeColor="text1"/>
                <w:sz w:val="24"/>
                <w:szCs w:val="24"/>
              </w:rPr>
            </w:pPr>
          </w:p>
        </w:tc>
        <w:tc>
          <w:tcPr>
            <w:tcW w:w="1516" w:type="dxa"/>
            <w:gridSpan w:val="2"/>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技术职称</w:t>
            </w:r>
          </w:p>
        </w:tc>
        <w:tc>
          <w:tcPr>
            <w:tcW w:w="841" w:type="dxa"/>
            <w:vAlign w:val="center"/>
          </w:tcPr>
          <w:p>
            <w:pPr>
              <w:spacing w:line="460" w:lineRule="exact"/>
              <w:jc w:val="center"/>
              <w:rPr>
                <w:rFonts w:ascii="宋体"/>
                <w:color w:val="000000" w:themeColor="text1"/>
                <w:sz w:val="24"/>
                <w:szCs w:val="24"/>
              </w:rPr>
            </w:pPr>
          </w:p>
        </w:tc>
        <w:tc>
          <w:tcPr>
            <w:tcW w:w="806"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电话</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成立时间</w:t>
            </w:r>
          </w:p>
        </w:tc>
        <w:tc>
          <w:tcPr>
            <w:tcW w:w="2572" w:type="dxa"/>
            <w:gridSpan w:val="2"/>
            <w:vAlign w:val="center"/>
          </w:tcPr>
          <w:p>
            <w:pPr>
              <w:spacing w:line="460" w:lineRule="exact"/>
              <w:jc w:val="center"/>
              <w:rPr>
                <w:rFonts w:ascii="宋体"/>
                <w:color w:val="000000" w:themeColor="text1"/>
                <w:sz w:val="24"/>
                <w:szCs w:val="24"/>
              </w:rPr>
            </w:pPr>
          </w:p>
        </w:tc>
        <w:tc>
          <w:tcPr>
            <w:tcW w:w="4518" w:type="dxa"/>
            <w:gridSpan w:val="5"/>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员工总人数：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企业资质等级</w:t>
            </w:r>
          </w:p>
        </w:tc>
        <w:tc>
          <w:tcPr>
            <w:tcW w:w="2572" w:type="dxa"/>
            <w:gridSpan w:val="2"/>
            <w:vAlign w:val="center"/>
          </w:tcPr>
          <w:p>
            <w:pPr>
              <w:spacing w:line="460" w:lineRule="exact"/>
              <w:jc w:val="center"/>
              <w:rPr>
                <w:rFonts w:ascii="宋体"/>
                <w:color w:val="000000" w:themeColor="text1"/>
                <w:sz w:val="24"/>
                <w:szCs w:val="24"/>
              </w:rPr>
            </w:pPr>
          </w:p>
        </w:tc>
        <w:tc>
          <w:tcPr>
            <w:tcW w:w="810" w:type="dxa"/>
            <w:vMerge w:val="restart"/>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其中</w:t>
            </w:r>
          </w:p>
        </w:tc>
        <w:tc>
          <w:tcPr>
            <w:tcW w:w="2353" w:type="dxa"/>
            <w:gridSpan w:val="3"/>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项目经理</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营业执照号</w:t>
            </w:r>
          </w:p>
        </w:tc>
        <w:tc>
          <w:tcPr>
            <w:tcW w:w="2572" w:type="dxa"/>
            <w:gridSpan w:val="2"/>
            <w:vAlign w:val="center"/>
          </w:tcPr>
          <w:p>
            <w:pPr>
              <w:spacing w:line="460" w:lineRule="exact"/>
              <w:jc w:val="center"/>
              <w:rPr>
                <w:rFonts w:ascii="宋体"/>
                <w:color w:val="000000" w:themeColor="text1"/>
                <w:sz w:val="24"/>
                <w:szCs w:val="24"/>
              </w:rPr>
            </w:pPr>
          </w:p>
        </w:tc>
        <w:tc>
          <w:tcPr>
            <w:tcW w:w="810" w:type="dxa"/>
            <w:vMerge w:val="continue"/>
            <w:vAlign w:val="center"/>
          </w:tcPr>
          <w:p>
            <w:pPr>
              <w:spacing w:line="460" w:lineRule="exact"/>
              <w:jc w:val="center"/>
              <w:rPr>
                <w:rFonts w:ascii="宋体"/>
                <w:color w:val="000000" w:themeColor="text1"/>
                <w:sz w:val="24"/>
                <w:szCs w:val="24"/>
              </w:rPr>
            </w:pPr>
          </w:p>
        </w:tc>
        <w:tc>
          <w:tcPr>
            <w:tcW w:w="2353" w:type="dxa"/>
            <w:gridSpan w:val="3"/>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高级职称人员</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注册资金</w:t>
            </w:r>
          </w:p>
        </w:tc>
        <w:tc>
          <w:tcPr>
            <w:tcW w:w="2572" w:type="dxa"/>
            <w:gridSpan w:val="2"/>
            <w:vAlign w:val="center"/>
          </w:tcPr>
          <w:p>
            <w:pPr>
              <w:spacing w:line="460" w:lineRule="exact"/>
              <w:jc w:val="center"/>
              <w:rPr>
                <w:rFonts w:ascii="宋体"/>
                <w:color w:val="000000" w:themeColor="text1"/>
                <w:sz w:val="24"/>
                <w:szCs w:val="24"/>
              </w:rPr>
            </w:pPr>
          </w:p>
        </w:tc>
        <w:tc>
          <w:tcPr>
            <w:tcW w:w="810" w:type="dxa"/>
            <w:vMerge w:val="continue"/>
            <w:vAlign w:val="center"/>
          </w:tcPr>
          <w:p>
            <w:pPr>
              <w:spacing w:line="460" w:lineRule="exact"/>
              <w:jc w:val="center"/>
              <w:rPr>
                <w:rFonts w:ascii="宋体"/>
                <w:color w:val="000000" w:themeColor="text1"/>
                <w:sz w:val="24"/>
                <w:szCs w:val="24"/>
              </w:rPr>
            </w:pPr>
          </w:p>
        </w:tc>
        <w:tc>
          <w:tcPr>
            <w:tcW w:w="2353" w:type="dxa"/>
            <w:gridSpan w:val="3"/>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中级职称人员</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开户银行</w:t>
            </w:r>
          </w:p>
        </w:tc>
        <w:tc>
          <w:tcPr>
            <w:tcW w:w="2572" w:type="dxa"/>
            <w:gridSpan w:val="2"/>
            <w:vAlign w:val="center"/>
          </w:tcPr>
          <w:p>
            <w:pPr>
              <w:spacing w:line="460" w:lineRule="exact"/>
              <w:jc w:val="center"/>
              <w:rPr>
                <w:rFonts w:ascii="宋体"/>
                <w:color w:val="000000" w:themeColor="text1"/>
                <w:sz w:val="24"/>
                <w:szCs w:val="24"/>
              </w:rPr>
            </w:pPr>
          </w:p>
        </w:tc>
        <w:tc>
          <w:tcPr>
            <w:tcW w:w="810" w:type="dxa"/>
            <w:vMerge w:val="continue"/>
            <w:vAlign w:val="center"/>
          </w:tcPr>
          <w:p>
            <w:pPr>
              <w:spacing w:line="460" w:lineRule="exact"/>
              <w:jc w:val="center"/>
              <w:rPr>
                <w:rFonts w:ascii="宋体"/>
                <w:color w:val="000000" w:themeColor="text1"/>
                <w:sz w:val="24"/>
                <w:szCs w:val="24"/>
              </w:rPr>
            </w:pPr>
          </w:p>
        </w:tc>
        <w:tc>
          <w:tcPr>
            <w:tcW w:w="2353" w:type="dxa"/>
            <w:gridSpan w:val="3"/>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初级职称人员</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账号</w:t>
            </w:r>
          </w:p>
        </w:tc>
        <w:tc>
          <w:tcPr>
            <w:tcW w:w="2572" w:type="dxa"/>
            <w:gridSpan w:val="2"/>
            <w:vAlign w:val="center"/>
          </w:tcPr>
          <w:p>
            <w:pPr>
              <w:spacing w:line="460" w:lineRule="exact"/>
              <w:jc w:val="center"/>
              <w:rPr>
                <w:rFonts w:ascii="宋体"/>
                <w:color w:val="000000" w:themeColor="text1"/>
                <w:sz w:val="24"/>
                <w:szCs w:val="24"/>
              </w:rPr>
            </w:pPr>
          </w:p>
        </w:tc>
        <w:tc>
          <w:tcPr>
            <w:tcW w:w="810" w:type="dxa"/>
            <w:vMerge w:val="continue"/>
            <w:vAlign w:val="center"/>
          </w:tcPr>
          <w:p>
            <w:pPr>
              <w:spacing w:line="460" w:lineRule="exact"/>
              <w:jc w:val="center"/>
              <w:rPr>
                <w:rFonts w:ascii="宋体"/>
                <w:color w:val="000000" w:themeColor="text1"/>
                <w:sz w:val="24"/>
                <w:szCs w:val="24"/>
              </w:rPr>
            </w:pPr>
          </w:p>
        </w:tc>
        <w:tc>
          <w:tcPr>
            <w:tcW w:w="2353" w:type="dxa"/>
            <w:gridSpan w:val="3"/>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技工</w:t>
            </w:r>
          </w:p>
        </w:tc>
        <w:tc>
          <w:tcPr>
            <w:tcW w:w="1355" w:type="dxa"/>
            <w:vAlign w:val="center"/>
          </w:tcPr>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1283" w:hRule="exact"/>
          <w:jc w:val="center"/>
        </w:trPr>
        <w:tc>
          <w:tcPr>
            <w:tcW w:w="1980" w:type="dxa"/>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经营范围</w:t>
            </w:r>
          </w:p>
        </w:tc>
        <w:tc>
          <w:tcPr>
            <w:tcW w:w="7090" w:type="dxa"/>
            <w:gridSpan w:val="7"/>
            <w:vAlign w:val="center"/>
          </w:tcPr>
          <w:p>
            <w:pPr>
              <w:spacing w:line="460" w:lineRule="exact"/>
              <w:jc w:val="center"/>
              <w:rPr>
                <w:rFonts w:ascii="宋体"/>
                <w:color w:val="000000" w:themeColor="text1"/>
                <w:sz w:val="24"/>
                <w:szCs w:val="24"/>
              </w:rPr>
            </w:pPr>
          </w:p>
          <w:p>
            <w:pPr>
              <w:spacing w:line="460" w:lineRule="exact"/>
              <w:jc w:val="center"/>
              <w:rPr>
                <w:rFonts w:ascii="宋体"/>
                <w:color w:val="000000" w:themeColor="text1"/>
                <w:sz w:val="24"/>
                <w:szCs w:val="24"/>
              </w:rPr>
            </w:pPr>
          </w:p>
          <w:p>
            <w:pPr>
              <w:spacing w:line="460" w:lineRule="exact"/>
              <w:jc w:val="center"/>
              <w:rPr>
                <w:rFonts w:ascii="宋体"/>
                <w:color w:val="000000" w:themeColor="text1"/>
                <w:sz w:val="24"/>
                <w:szCs w:val="24"/>
              </w:rPr>
            </w:pPr>
          </w:p>
          <w:p>
            <w:pPr>
              <w:spacing w:line="460" w:lineRule="exact"/>
              <w:jc w:val="center"/>
              <w:rPr>
                <w:rFonts w:ascii="宋体"/>
                <w:color w:val="000000" w:themeColor="text1"/>
                <w:sz w:val="24"/>
                <w:szCs w:val="24"/>
              </w:rPr>
            </w:pPr>
          </w:p>
          <w:p>
            <w:pPr>
              <w:spacing w:line="460" w:lineRule="exact"/>
              <w:jc w:val="center"/>
              <w:rPr>
                <w:rFonts w:ascii="宋体"/>
                <w:color w:val="000000" w:themeColor="text1"/>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947" w:hRule="exact"/>
          <w:jc w:val="center"/>
        </w:trPr>
        <w:tc>
          <w:tcPr>
            <w:tcW w:w="1980" w:type="dxa"/>
            <w:tcBorders>
              <w:bottom w:val="thinThickSmallGap" w:color="auto" w:sz="12" w:space="0"/>
            </w:tcBorders>
            <w:vAlign w:val="center"/>
          </w:tcPr>
          <w:p>
            <w:pPr>
              <w:spacing w:line="460" w:lineRule="exact"/>
              <w:jc w:val="center"/>
              <w:rPr>
                <w:rFonts w:ascii="宋体"/>
                <w:color w:val="000000" w:themeColor="text1"/>
                <w:sz w:val="24"/>
                <w:szCs w:val="24"/>
              </w:rPr>
            </w:pPr>
            <w:r>
              <w:rPr>
                <w:rFonts w:hint="eastAsia" w:ascii="宋体" w:hAnsi="宋体"/>
                <w:color w:val="000000" w:themeColor="text1"/>
                <w:sz w:val="24"/>
                <w:szCs w:val="24"/>
              </w:rPr>
              <w:t>备注</w:t>
            </w:r>
          </w:p>
        </w:tc>
        <w:tc>
          <w:tcPr>
            <w:tcW w:w="7090" w:type="dxa"/>
            <w:gridSpan w:val="7"/>
            <w:tcBorders>
              <w:bottom w:val="thinThickSmallGap" w:color="auto" w:sz="12" w:space="0"/>
            </w:tcBorders>
            <w:vAlign w:val="center"/>
          </w:tcPr>
          <w:p>
            <w:pPr>
              <w:spacing w:line="460" w:lineRule="exact"/>
              <w:jc w:val="center"/>
              <w:rPr>
                <w:rFonts w:ascii="宋体"/>
                <w:color w:val="000000" w:themeColor="text1"/>
                <w:sz w:val="24"/>
                <w:szCs w:val="24"/>
              </w:rPr>
            </w:pPr>
          </w:p>
        </w:tc>
      </w:tr>
    </w:tbl>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hAnsi="宋体"/>
          <w:b/>
          <w:color w:val="000000" w:themeColor="text1"/>
          <w:sz w:val="24"/>
          <w:szCs w:val="24"/>
        </w:rPr>
      </w:pPr>
    </w:p>
    <w:p>
      <w:pPr>
        <w:spacing w:line="400" w:lineRule="exact"/>
        <w:ind w:firstLine="482" w:firstLineChars="200"/>
        <w:jc w:val="left"/>
        <w:rPr>
          <w:rFonts w:ascii="宋体"/>
          <w:b/>
          <w:color w:val="000000" w:themeColor="text1"/>
          <w:sz w:val="24"/>
          <w:szCs w:val="24"/>
        </w:rPr>
      </w:pPr>
      <w:r>
        <w:rPr>
          <w:rFonts w:ascii="宋体" w:hAnsi="宋体"/>
          <w:b/>
          <w:color w:val="000000" w:themeColor="text1"/>
          <w:sz w:val="24"/>
          <w:szCs w:val="24"/>
        </w:rPr>
        <w:t>2.</w:t>
      </w:r>
      <w:r>
        <w:rPr>
          <w:rFonts w:hint="eastAsia"/>
          <w:b/>
          <w:color w:val="000000" w:themeColor="text1"/>
          <w:sz w:val="24"/>
          <w:szCs w:val="24"/>
        </w:rPr>
        <w:t>商务承诺</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（三）商务部分</w:t>
      </w:r>
    </w:p>
    <w:p>
      <w:pPr>
        <w:spacing w:line="400" w:lineRule="exact"/>
        <w:ind w:firstLine="480" w:firstLineChars="200"/>
        <w:jc w:val="left"/>
        <w:rPr>
          <w:color w:val="000000" w:themeColor="text1"/>
          <w:sz w:val="24"/>
          <w:szCs w:val="24"/>
        </w:rPr>
      </w:pPr>
      <w:r>
        <w:rPr>
          <w:rFonts w:hint="eastAsia"/>
          <w:color w:val="000000" w:themeColor="text1"/>
          <w:sz w:val="24"/>
          <w:szCs w:val="24"/>
        </w:rPr>
        <w:t>按第三篇商务要求内容撰写，格式自定义。</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（四）商务条款差异表（参考）</w:t>
      </w:r>
    </w:p>
    <w:p>
      <w:pPr>
        <w:tabs>
          <w:tab w:val="left" w:pos="6300"/>
        </w:tabs>
        <w:snapToGrid w:val="0"/>
        <w:spacing w:line="500" w:lineRule="exact"/>
        <w:ind w:firstLine="480" w:firstLineChars="200"/>
        <w:rPr>
          <w:rFonts w:ascii="宋体" w:hAnsi="宋体"/>
          <w:color w:val="000000" w:themeColor="text1"/>
          <w:sz w:val="24"/>
          <w:szCs w:val="28"/>
        </w:rPr>
      </w:pPr>
      <w:bookmarkStart w:id="102" w:name="_Toc186919436"/>
      <w:r>
        <w:rPr>
          <w:rFonts w:hint="eastAsia" w:ascii="宋体" w:hAnsi="宋体"/>
          <w:color w:val="000000" w:themeColor="text1"/>
          <w:sz w:val="24"/>
          <w:szCs w:val="28"/>
        </w:rPr>
        <w:t>项目名称：</w:t>
      </w:r>
      <w:bookmarkEnd w:id="102"/>
    </w:p>
    <w:tbl>
      <w:tblPr>
        <w:tblStyle w:val="43"/>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rPr>
                <w:rFonts w:ascii="宋体" w:hAnsi="宋体"/>
                <w:color w:val="000000" w:themeColor="text1"/>
                <w:sz w:val="24"/>
                <w:szCs w:val="28"/>
              </w:rPr>
            </w:pPr>
            <w:bookmarkStart w:id="103" w:name="_Toc186919437"/>
            <w:r>
              <w:rPr>
                <w:rFonts w:hint="eastAsia" w:ascii="宋体" w:hAnsi="宋体"/>
                <w:color w:val="000000" w:themeColor="text1"/>
                <w:sz w:val="24"/>
                <w:szCs w:val="28"/>
              </w:rPr>
              <w:t>序号</w:t>
            </w:r>
            <w:bookmarkEnd w:id="103"/>
          </w:p>
        </w:tc>
        <w:tc>
          <w:tcPr>
            <w:tcW w:w="2428" w:type="dxa"/>
            <w:vAlign w:val="center"/>
          </w:tcPr>
          <w:p>
            <w:pPr>
              <w:tabs>
                <w:tab w:val="left" w:pos="6300"/>
              </w:tabs>
              <w:snapToGrid w:val="0"/>
              <w:spacing w:line="500" w:lineRule="exact"/>
              <w:ind w:firstLine="480" w:firstLineChars="200"/>
              <w:rPr>
                <w:rFonts w:ascii="宋体" w:hAnsi="宋体"/>
                <w:color w:val="000000" w:themeColor="text1"/>
                <w:sz w:val="24"/>
                <w:szCs w:val="28"/>
              </w:rPr>
            </w:pPr>
            <w:bookmarkStart w:id="104" w:name="_Toc186919438"/>
            <w:r>
              <w:rPr>
                <w:rFonts w:hint="eastAsia" w:ascii="宋体" w:hAnsi="宋体"/>
                <w:color w:val="000000" w:themeColor="text1"/>
                <w:sz w:val="24"/>
                <w:szCs w:val="28"/>
              </w:rPr>
              <w:t>招标商务要求</w:t>
            </w:r>
            <w:bookmarkEnd w:id="104"/>
          </w:p>
        </w:tc>
        <w:tc>
          <w:tcPr>
            <w:tcW w:w="2520" w:type="dxa"/>
            <w:vAlign w:val="center"/>
          </w:tcPr>
          <w:p>
            <w:pPr>
              <w:tabs>
                <w:tab w:val="left" w:pos="6300"/>
              </w:tabs>
              <w:snapToGrid w:val="0"/>
              <w:spacing w:line="500" w:lineRule="exact"/>
              <w:ind w:firstLine="480" w:firstLineChars="200"/>
              <w:rPr>
                <w:rFonts w:ascii="宋体" w:hAnsi="宋体"/>
                <w:color w:val="000000" w:themeColor="text1"/>
                <w:sz w:val="24"/>
                <w:szCs w:val="28"/>
              </w:rPr>
            </w:pPr>
            <w:bookmarkStart w:id="105" w:name="_Toc186919439"/>
            <w:r>
              <w:rPr>
                <w:rFonts w:hint="eastAsia" w:ascii="宋体" w:hAnsi="宋体"/>
                <w:color w:val="000000" w:themeColor="text1"/>
                <w:sz w:val="24"/>
                <w:szCs w:val="28"/>
              </w:rPr>
              <w:t>投标商务应答</w:t>
            </w:r>
            <w:bookmarkEnd w:id="105"/>
          </w:p>
        </w:tc>
        <w:tc>
          <w:tcPr>
            <w:tcW w:w="1888" w:type="dxa"/>
            <w:vAlign w:val="center"/>
          </w:tcPr>
          <w:p>
            <w:pPr>
              <w:tabs>
                <w:tab w:val="left" w:pos="6300"/>
              </w:tabs>
              <w:snapToGrid w:val="0"/>
              <w:spacing w:line="500" w:lineRule="exact"/>
              <w:ind w:firstLine="480" w:firstLineChars="200"/>
              <w:rPr>
                <w:rFonts w:ascii="宋体" w:hAnsi="宋体"/>
                <w:color w:val="000000" w:themeColor="text1"/>
                <w:sz w:val="24"/>
                <w:szCs w:val="28"/>
              </w:rPr>
            </w:pPr>
            <w:bookmarkStart w:id="106" w:name="_Toc186919440"/>
            <w:r>
              <w:rPr>
                <w:rFonts w:hint="eastAsia" w:ascii="宋体" w:hAnsi="宋体"/>
                <w:color w:val="000000" w:themeColor="text1"/>
                <w:sz w:val="24"/>
                <w:szCs w:val="28"/>
              </w:rPr>
              <w:t>差异说明</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bl>
    <w:p>
      <w:pPr>
        <w:spacing w:line="400" w:lineRule="exact"/>
        <w:ind w:firstLine="480" w:firstLineChars="200"/>
        <w:jc w:val="left"/>
        <w:rPr>
          <w:color w:val="000000" w:themeColor="text1"/>
          <w:sz w:val="24"/>
          <w:szCs w:val="24"/>
        </w:rPr>
      </w:pPr>
    </w:p>
    <w:p>
      <w:pPr>
        <w:tabs>
          <w:tab w:val="left" w:pos="6300"/>
        </w:tabs>
        <w:snapToGrid w:val="0"/>
        <w:spacing w:line="500" w:lineRule="exact"/>
        <w:ind w:firstLine="480" w:firstLineChars="200"/>
        <w:rPr>
          <w:rFonts w:ascii="宋体" w:hAnsi="宋体"/>
          <w:color w:val="000000" w:themeColor="text1"/>
          <w:sz w:val="24"/>
          <w:szCs w:val="28"/>
        </w:rPr>
      </w:pPr>
    </w:p>
    <w:p>
      <w:pPr>
        <w:tabs>
          <w:tab w:val="left" w:pos="6300"/>
        </w:tabs>
        <w:snapToGrid w:val="0"/>
        <w:spacing w:line="500" w:lineRule="exact"/>
        <w:ind w:firstLine="480" w:firstLineChars="200"/>
        <w:rPr>
          <w:rFonts w:ascii="宋体" w:hAnsi="宋体"/>
          <w:color w:val="000000" w:themeColor="text1"/>
          <w:sz w:val="24"/>
          <w:szCs w:val="28"/>
        </w:rPr>
      </w:pPr>
      <w:r>
        <w:rPr>
          <w:rFonts w:hint="eastAsia" w:ascii="宋体" w:hAnsi="宋体"/>
          <w:color w:val="000000" w:themeColor="text1"/>
          <w:sz w:val="24"/>
          <w:szCs w:val="28"/>
        </w:rPr>
        <w:t>投标人：             　　　　　       法定代表人授权代表：</w:t>
      </w:r>
    </w:p>
    <w:p>
      <w:pPr>
        <w:spacing w:line="400" w:lineRule="exact"/>
        <w:jc w:val="left"/>
        <w:rPr>
          <w:color w:val="000000" w:themeColor="text1"/>
          <w:sz w:val="24"/>
          <w:szCs w:val="24"/>
        </w:rPr>
      </w:pPr>
      <w:r>
        <w:rPr>
          <w:rFonts w:hint="eastAsia"/>
          <w:color w:val="000000" w:themeColor="text1"/>
          <w:sz w:val="24"/>
          <w:szCs w:val="24"/>
        </w:rPr>
        <w:t>（投标人公章）　　　　（签字或盖章）</w:t>
      </w:r>
    </w:p>
    <w:p>
      <w:pPr>
        <w:spacing w:line="400" w:lineRule="exact"/>
        <w:jc w:val="left"/>
        <w:rPr>
          <w:color w:val="000000" w:themeColor="text1"/>
          <w:sz w:val="24"/>
          <w:szCs w:val="24"/>
        </w:rPr>
      </w:pPr>
      <w:r>
        <w:rPr>
          <w:rFonts w:hint="eastAsia"/>
          <w:color w:val="000000" w:themeColor="text1"/>
          <w:sz w:val="24"/>
          <w:szCs w:val="24"/>
        </w:rPr>
        <w:t>　　年月日年月日</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r>
        <w:rPr>
          <w:rFonts w:hint="eastAsia"/>
          <w:color w:val="000000" w:themeColor="text1"/>
          <w:sz w:val="24"/>
          <w:szCs w:val="24"/>
        </w:rPr>
        <w:t>注：</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本表即为对本项目“第三篇项目商务要求”中所列商务条款进行比较和响应；</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该表必须按照招标文件要求逐条如实填写，根据投标情况在“差异说明”项填写正偏离或负偏离及原因，完全符合的填写“无差异”。</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该表可扩展。</w:t>
      </w:r>
    </w:p>
    <w:p>
      <w:pPr>
        <w:tabs>
          <w:tab w:val="left" w:pos="6300"/>
        </w:tabs>
        <w:snapToGrid w:val="0"/>
        <w:spacing w:line="500" w:lineRule="exact"/>
        <w:ind w:firstLine="480" w:firstLineChars="200"/>
        <w:rPr>
          <w:rFonts w:ascii="宋体" w:hAnsi="宋体"/>
          <w:color w:val="000000" w:themeColor="text1"/>
          <w:sz w:val="24"/>
          <w:szCs w:val="28"/>
        </w:rPr>
      </w:pPr>
      <w:r>
        <w:rPr>
          <w:rFonts w:hint="eastAsia" w:ascii="宋体" w:hAnsi="宋体"/>
          <w:color w:val="000000" w:themeColor="text1"/>
          <w:sz w:val="24"/>
          <w:szCs w:val="28"/>
        </w:rPr>
        <w:t>（五）联合经营服务承诺（格式自定）</w:t>
      </w: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tabs>
          <w:tab w:val="left" w:pos="6300"/>
        </w:tabs>
        <w:snapToGrid w:val="0"/>
        <w:spacing w:line="500" w:lineRule="exact"/>
        <w:ind w:firstLine="482" w:firstLineChars="200"/>
        <w:rPr>
          <w:rFonts w:ascii="宋体" w:hAnsi="宋体"/>
          <w:b/>
          <w:bCs/>
          <w:color w:val="000000" w:themeColor="text1"/>
          <w:sz w:val="24"/>
          <w:szCs w:val="28"/>
        </w:rPr>
      </w:pPr>
      <w:bookmarkStart w:id="107" w:name="_Toc186919441"/>
      <w:r>
        <w:rPr>
          <w:rFonts w:hint="eastAsia" w:ascii="宋体" w:hAnsi="宋体"/>
          <w:b/>
          <w:bCs/>
          <w:color w:val="000000" w:themeColor="text1"/>
          <w:sz w:val="24"/>
          <w:szCs w:val="28"/>
        </w:rPr>
        <w:t>四、经济与技术文件</w:t>
      </w:r>
      <w:bookmarkEnd w:id="107"/>
    </w:p>
    <w:p>
      <w:pPr>
        <w:spacing w:line="400" w:lineRule="exact"/>
        <w:ind w:firstLine="480" w:firstLineChars="200"/>
        <w:jc w:val="left"/>
        <w:rPr>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（一）经济与技术文件</w:t>
      </w:r>
    </w:p>
    <w:p>
      <w:pPr>
        <w:spacing w:line="400" w:lineRule="exact"/>
        <w:ind w:firstLine="480" w:firstLineChars="200"/>
        <w:jc w:val="left"/>
        <w:rPr>
          <w:color w:val="000000" w:themeColor="text1"/>
          <w:sz w:val="24"/>
          <w:szCs w:val="24"/>
        </w:rPr>
      </w:pPr>
      <w:r>
        <w:rPr>
          <w:rFonts w:hint="eastAsia"/>
          <w:color w:val="000000" w:themeColor="text1"/>
          <w:sz w:val="24"/>
          <w:szCs w:val="24"/>
        </w:rPr>
        <w:t>按第二篇要求内容撰写，格式自定义。</w:t>
      </w: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（二）经济与技术条款差异表（参考）</w:t>
      </w:r>
    </w:p>
    <w:p>
      <w:pPr>
        <w:ind w:firstLine="560" w:firstLineChars="200"/>
      </w:pPr>
      <w:bookmarkStart w:id="108" w:name="_Toc186919442"/>
      <w:r>
        <w:rPr>
          <w:rFonts w:hint="eastAsia"/>
          <w:sz w:val="28"/>
          <w:szCs w:val="28"/>
        </w:rPr>
        <w:t>项目名称：</w:t>
      </w:r>
      <w:bookmarkEnd w:id="108"/>
    </w:p>
    <w:tbl>
      <w:tblPr>
        <w:tblStyle w:val="43"/>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bookmarkStart w:id="109" w:name="_Toc186919443"/>
            <w:r>
              <w:rPr>
                <w:rFonts w:hint="eastAsia"/>
              </w:rPr>
              <w:t>序号</w:t>
            </w:r>
            <w:bookmarkEnd w:id="109"/>
          </w:p>
        </w:tc>
        <w:tc>
          <w:tcPr>
            <w:tcW w:w="2428" w:type="dxa"/>
            <w:vAlign w:val="center"/>
          </w:tcPr>
          <w:p>
            <w:bookmarkStart w:id="110" w:name="_Toc186919444"/>
            <w:r>
              <w:rPr>
                <w:rFonts w:hint="eastAsia"/>
              </w:rPr>
              <w:t>招标要求</w:t>
            </w:r>
            <w:bookmarkEnd w:id="110"/>
          </w:p>
        </w:tc>
        <w:tc>
          <w:tcPr>
            <w:tcW w:w="2520" w:type="dxa"/>
            <w:vAlign w:val="center"/>
          </w:tcPr>
          <w:p>
            <w:bookmarkStart w:id="111" w:name="_Toc186919445"/>
            <w:r>
              <w:rPr>
                <w:rFonts w:hint="eastAsia"/>
              </w:rPr>
              <w:t>投标应答</w:t>
            </w:r>
            <w:bookmarkEnd w:id="111"/>
          </w:p>
        </w:tc>
        <w:tc>
          <w:tcPr>
            <w:tcW w:w="1888" w:type="dxa"/>
            <w:vAlign w:val="center"/>
          </w:tcPr>
          <w:p>
            <w:bookmarkStart w:id="112" w:name="_Toc186919446"/>
            <w:r>
              <w:rPr>
                <w:rFonts w:hint="eastAsia"/>
              </w:rPr>
              <w:t>差异说明</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color w:val="000000" w:themeColor="text1"/>
                <w:szCs w:val="21"/>
              </w:rPr>
            </w:pPr>
          </w:p>
        </w:tc>
        <w:tc>
          <w:tcPr>
            <w:tcW w:w="2428" w:type="dxa"/>
            <w:vAlign w:val="center"/>
          </w:tcPr>
          <w:p>
            <w:pPr>
              <w:tabs>
                <w:tab w:val="left" w:pos="6300"/>
              </w:tabs>
              <w:snapToGrid w:val="0"/>
              <w:spacing w:line="500" w:lineRule="exact"/>
              <w:jc w:val="center"/>
              <w:outlineLvl w:val="0"/>
              <w:rPr>
                <w:rFonts w:ascii="宋体"/>
                <w:color w:val="000000" w:themeColor="text1"/>
                <w:szCs w:val="21"/>
              </w:rPr>
            </w:pPr>
          </w:p>
        </w:tc>
        <w:tc>
          <w:tcPr>
            <w:tcW w:w="2520" w:type="dxa"/>
            <w:vAlign w:val="center"/>
          </w:tcPr>
          <w:p>
            <w:pPr>
              <w:tabs>
                <w:tab w:val="left" w:pos="6300"/>
              </w:tabs>
              <w:snapToGrid w:val="0"/>
              <w:spacing w:line="500" w:lineRule="exact"/>
              <w:jc w:val="center"/>
              <w:outlineLvl w:val="0"/>
              <w:rPr>
                <w:rFonts w:ascii="宋体"/>
                <w:color w:val="000000" w:themeColor="text1"/>
                <w:szCs w:val="21"/>
              </w:rPr>
            </w:pPr>
          </w:p>
        </w:tc>
        <w:tc>
          <w:tcPr>
            <w:tcW w:w="1888" w:type="dxa"/>
            <w:vAlign w:val="center"/>
          </w:tcPr>
          <w:p>
            <w:pPr>
              <w:tabs>
                <w:tab w:val="left" w:pos="6300"/>
              </w:tabs>
              <w:snapToGrid w:val="0"/>
              <w:spacing w:line="500" w:lineRule="exact"/>
              <w:jc w:val="center"/>
              <w:outlineLvl w:val="0"/>
              <w:rPr>
                <w:rFonts w:ascii="宋体"/>
                <w:color w:val="000000" w:themeColor="text1"/>
                <w:szCs w:val="21"/>
              </w:rPr>
            </w:pPr>
          </w:p>
        </w:tc>
      </w:tr>
    </w:tbl>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jc w:val="left"/>
        <w:rPr>
          <w:color w:val="000000" w:themeColor="text1"/>
          <w:sz w:val="24"/>
          <w:szCs w:val="24"/>
        </w:rPr>
      </w:pPr>
      <w:r>
        <w:rPr>
          <w:rFonts w:hint="eastAsia"/>
          <w:color w:val="000000" w:themeColor="text1"/>
          <w:sz w:val="24"/>
          <w:szCs w:val="24"/>
        </w:rPr>
        <w:t>投标人：　　　　　法定代表人授权代表：</w:t>
      </w:r>
    </w:p>
    <w:p>
      <w:pPr>
        <w:spacing w:line="400" w:lineRule="exact"/>
        <w:jc w:val="left"/>
        <w:rPr>
          <w:color w:val="000000" w:themeColor="text1"/>
          <w:sz w:val="24"/>
          <w:szCs w:val="24"/>
        </w:rPr>
      </w:pPr>
      <w:r>
        <w:rPr>
          <w:rFonts w:hint="eastAsia"/>
          <w:color w:val="000000" w:themeColor="text1"/>
          <w:sz w:val="24"/>
          <w:szCs w:val="24"/>
        </w:rPr>
        <w:t>（投标人公章）　　　　（签字或盖章）</w:t>
      </w:r>
    </w:p>
    <w:p>
      <w:pPr>
        <w:spacing w:line="400" w:lineRule="exact"/>
        <w:jc w:val="left"/>
        <w:rPr>
          <w:color w:val="000000" w:themeColor="text1"/>
          <w:sz w:val="24"/>
          <w:szCs w:val="24"/>
        </w:rPr>
      </w:pPr>
      <w:r>
        <w:rPr>
          <w:rFonts w:hint="eastAsia"/>
          <w:color w:val="000000" w:themeColor="text1"/>
          <w:sz w:val="24"/>
          <w:szCs w:val="24"/>
        </w:rPr>
        <w:t>　　年月日年月日</w:t>
      </w: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p>
    <w:p>
      <w:pPr>
        <w:spacing w:line="400" w:lineRule="exact"/>
        <w:ind w:firstLine="480" w:firstLineChars="200"/>
        <w:jc w:val="left"/>
        <w:rPr>
          <w:color w:val="000000" w:themeColor="text1"/>
          <w:sz w:val="24"/>
          <w:szCs w:val="24"/>
        </w:rPr>
      </w:pPr>
      <w:r>
        <w:rPr>
          <w:rFonts w:hint="eastAsia"/>
          <w:color w:val="000000" w:themeColor="text1"/>
          <w:sz w:val="24"/>
          <w:szCs w:val="24"/>
        </w:rPr>
        <w:t>注：</w:t>
      </w:r>
    </w:p>
    <w:p>
      <w:pPr>
        <w:spacing w:line="400" w:lineRule="exact"/>
        <w:ind w:firstLine="480" w:firstLineChars="200"/>
        <w:jc w:val="left"/>
        <w:rPr>
          <w:color w:val="000000" w:themeColor="text1"/>
          <w:sz w:val="24"/>
          <w:szCs w:val="24"/>
        </w:rPr>
      </w:pPr>
      <w:r>
        <w:rPr>
          <w:color w:val="000000" w:themeColor="text1"/>
          <w:sz w:val="24"/>
          <w:szCs w:val="24"/>
        </w:rPr>
        <w:t>1.</w:t>
      </w:r>
      <w:r>
        <w:rPr>
          <w:rFonts w:hint="eastAsia"/>
          <w:color w:val="000000" w:themeColor="text1"/>
          <w:sz w:val="24"/>
          <w:szCs w:val="24"/>
        </w:rPr>
        <w:t>本表即为对本项目第二篇要求进行比较和响应；</w:t>
      </w:r>
    </w:p>
    <w:p>
      <w:pPr>
        <w:spacing w:line="400" w:lineRule="exact"/>
        <w:ind w:firstLine="480" w:firstLineChars="200"/>
        <w:jc w:val="left"/>
        <w:rPr>
          <w:color w:val="000000" w:themeColor="text1"/>
          <w:sz w:val="24"/>
          <w:szCs w:val="24"/>
        </w:rPr>
      </w:pPr>
      <w:r>
        <w:rPr>
          <w:color w:val="000000" w:themeColor="text1"/>
          <w:sz w:val="24"/>
          <w:szCs w:val="24"/>
        </w:rPr>
        <w:t>2.</w:t>
      </w:r>
      <w:r>
        <w:rPr>
          <w:rFonts w:hint="eastAsia"/>
          <w:color w:val="000000" w:themeColor="text1"/>
          <w:sz w:val="24"/>
          <w:szCs w:val="24"/>
        </w:rPr>
        <w:t>该表必须按照招标文件要求逐条如实填写，根据投标情况在“差异说明”项填写正偏离或负偏离及原因，完全符合的填写“无差异”；</w:t>
      </w:r>
    </w:p>
    <w:p>
      <w:pPr>
        <w:spacing w:line="400" w:lineRule="exact"/>
        <w:ind w:firstLine="480" w:firstLineChars="200"/>
        <w:jc w:val="left"/>
        <w:rPr>
          <w:color w:val="000000" w:themeColor="text1"/>
          <w:sz w:val="24"/>
          <w:szCs w:val="24"/>
        </w:rPr>
      </w:pPr>
      <w:r>
        <w:rPr>
          <w:color w:val="000000" w:themeColor="text1"/>
          <w:sz w:val="24"/>
          <w:szCs w:val="24"/>
        </w:rPr>
        <w:t>3.</w:t>
      </w:r>
      <w:r>
        <w:rPr>
          <w:rFonts w:hint="eastAsia"/>
          <w:color w:val="000000" w:themeColor="text1"/>
          <w:sz w:val="24"/>
          <w:szCs w:val="24"/>
        </w:rPr>
        <w:t>该表可扩展；</w:t>
      </w:r>
    </w:p>
    <w:p>
      <w:pPr>
        <w:spacing w:line="400" w:lineRule="exact"/>
        <w:ind w:firstLine="480" w:firstLineChars="200"/>
        <w:jc w:val="left"/>
        <w:rPr>
          <w:color w:val="000000" w:themeColor="text1"/>
          <w:sz w:val="24"/>
          <w:szCs w:val="24"/>
        </w:rPr>
      </w:pPr>
      <w:r>
        <w:rPr>
          <w:color w:val="000000" w:themeColor="text1"/>
          <w:sz w:val="24"/>
          <w:szCs w:val="24"/>
        </w:rPr>
        <w:t>4.</w:t>
      </w:r>
      <w:r>
        <w:rPr>
          <w:rFonts w:hint="eastAsia"/>
          <w:color w:val="000000" w:themeColor="text1"/>
          <w:sz w:val="24"/>
          <w:szCs w:val="24"/>
        </w:rPr>
        <w:t>可附相关技术支撑材料（格式自定）。</w:t>
      </w:r>
    </w:p>
    <w:p>
      <w:pPr>
        <w:spacing w:line="400" w:lineRule="exact"/>
        <w:ind w:firstLine="562" w:firstLineChars="200"/>
        <w:jc w:val="left"/>
        <w:rPr>
          <w:b/>
          <w:bCs/>
          <w:color w:val="000000" w:themeColor="text1"/>
          <w:sz w:val="28"/>
          <w:szCs w:val="28"/>
        </w:rPr>
      </w:pPr>
      <w:r>
        <w:rPr>
          <w:rFonts w:hint="eastAsia"/>
          <w:b/>
          <w:bCs/>
          <w:color w:val="000000" w:themeColor="text1"/>
          <w:sz w:val="28"/>
          <w:szCs w:val="28"/>
        </w:rPr>
        <w:t>五、其他</w:t>
      </w: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（一）投标保证金缴纳情况证明文件</w:t>
      </w:r>
    </w:p>
    <w:p>
      <w:pPr>
        <w:spacing w:line="400" w:lineRule="exact"/>
        <w:ind w:firstLine="482" w:firstLineChars="200"/>
        <w:jc w:val="left"/>
        <w:rPr>
          <w:b/>
          <w:color w:val="000000" w:themeColor="text1"/>
          <w:sz w:val="24"/>
          <w:szCs w:val="24"/>
        </w:rPr>
      </w:pPr>
    </w:p>
    <w:p>
      <w:pPr>
        <w:spacing w:line="400" w:lineRule="exact"/>
        <w:ind w:firstLine="482" w:firstLineChars="200"/>
        <w:jc w:val="left"/>
        <w:rPr>
          <w:b/>
          <w:color w:val="000000" w:themeColor="text1"/>
          <w:sz w:val="24"/>
          <w:szCs w:val="24"/>
        </w:rPr>
      </w:pPr>
      <w:r>
        <w:rPr>
          <w:rFonts w:hint="eastAsia"/>
          <w:b/>
          <w:color w:val="000000" w:themeColor="text1"/>
          <w:sz w:val="24"/>
          <w:szCs w:val="24"/>
        </w:rPr>
        <w:t>（二）其他与项目有关的资料（自附）</w:t>
      </w: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400" w:lineRule="exact"/>
        <w:jc w:val="left"/>
        <w:rPr>
          <w:color w:val="000000" w:themeColor="text1"/>
          <w:sz w:val="24"/>
          <w:szCs w:val="24"/>
        </w:rPr>
      </w:pPr>
    </w:p>
    <w:p>
      <w:pPr>
        <w:spacing w:line="500" w:lineRule="exact"/>
        <w:rPr>
          <w:color w:val="000000" w:themeColor="text1"/>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FangSong_GB2312">
    <w:altName w:val="仿宋"/>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00"/>
    <w:family w:val="roman"/>
    <w:pitch w:val="default"/>
    <w:sig w:usb0="00000000" w:usb1="00000000" w:usb2="00000000" w:usb3="00000000" w:csb0="00000001" w:csb1="00000000"/>
  </w:font>
  <w:font w:name="文鼎粗黑">
    <w:altName w:val="新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fldChar w:fldCharType="begin"/>
    </w:r>
    <w:r>
      <w:instrText xml:space="preserve">PAGE   \* MERGEFORMAT</w:instrText>
    </w:r>
    <w:r>
      <w:fldChar w:fldCharType="separate"/>
    </w:r>
    <w:r>
      <w:rPr>
        <w:lang w:val="zh-CN"/>
      </w:rPr>
      <w:t>6</w:t>
    </w:r>
    <w:r>
      <w:rPr>
        <w:lang w:val="zh-CN"/>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E598D"/>
    <w:multiLevelType w:val="singleLevel"/>
    <w:tmpl w:val="8C5E598D"/>
    <w:lvl w:ilvl="0" w:tentative="0">
      <w:start w:val="3"/>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163"/>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C"/>
    <w:multiLevelType w:val="singleLevel"/>
    <w:tmpl w:val="0000000C"/>
    <w:lvl w:ilvl="0" w:tentative="0">
      <w:start w:val="1"/>
      <w:numFmt w:val="bullet"/>
      <w:pStyle w:val="113"/>
      <w:lvlText w:val=""/>
      <w:lvlJc w:val="left"/>
      <w:pPr>
        <w:tabs>
          <w:tab w:val="left" w:pos="780"/>
        </w:tabs>
        <w:ind w:left="780" w:hanging="360"/>
      </w:pPr>
      <w:rPr>
        <w:rFonts w:hint="default" w:ascii="Wingdings" w:hAnsi="Wingdings"/>
      </w:rPr>
    </w:lvl>
  </w:abstractNum>
  <w:abstractNum w:abstractNumId="3">
    <w:nsid w:val="0000000E"/>
    <w:multiLevelType w:val="multilevel"/>
    <w:tmpl w:val="0000000E"/>
    <w:lvl w:ilvl="0" w:tentative="0">
      <w:start w:val="1"/>
      <w:numFmt w:val="upperLetter"/>
      <w:pStyle w:val="167"/>
      <w:suff w:val="nothing"/>
      <w:lvlText w:val="附　录　%1"/>
      <w:lvlJc w:val="left"/>
      <w:rPr>
        <w:rFonts w:hint="eastAsia" w:ascii="黑体" w:hAnsi="Times New Roman" w:eastAsia="黑体" w:cs="Times New Roman"/>
        <w:b w:val="0"/>
        <w:i w:val="0"/>
        <w:sz w:val="21"/>
      </w:rPr>
    </w:lvl>
    <w:lvl w:ilvl="1" w:tentative="0">
      <w:start w:val="1"/>
      <w:numFmt w:val="decimal"/>
      <w:suff w:val="nothing"/>
      <w:lvlText w:val="%1.%2　"/>
      <w:lvlJc w:val="left"/>
      <w:pPr>
        <w:ind w:left="210"/>
      </w:pPr>
      <w:rPr>
        <w:rFonts w:hint="eastAsia" w:ascii="黑体" w:hAnsi="Times New Roman" w:eastAsia="黑体" w:cs="Times New Roman"/>
        <w:b w:val="0"/>
        <w:i w:val="0"/>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0000000F"/>
    <w:multiLevelType w:val="singleLevel"/>
    <w:tmpl w:val="0000000F"/>
    <w:lvl w:ilvl="0" w:tentative="0">
      <w:start w:val="1"/>
      <w:numFmt w:val="bullet"/>
      <w:pStyle w:val="234"/>
      <w:lvlText w:val=""/>
      <w:lvlJc w:val="left"/>
      <w:pPr>
        <w:tabs>
          <w:tab w:val="left" w:pos="360"/>
        </w:tabs>
        <w:ind w:left="360" w:hanging="360"/>
      </w:pPr>
      <w:rPr>
        <w:rFonts w:hint="default" w:ascii="Wingdings" w:hAnsi="Wingdings"/>
      </w:rPr>
    </w:lvl>
  </w:abstractNum>
  <w:abstractNum w:abstractNumId="5">
    <w:nsid w:val="00000010"/>
    <w:multiLevelType w:val="multilevel"/>
    <w:tmpl w:val="00000010"/>
    <w:lvl w:ilvl="0" w:tentative="0">
      <w:start w:val="8"/>
      <w:numFmt w:val="decimal"/>
      <w:pStyle w:val="168"/>
      <w:lvlText w:val="%1."/>
      <w:lvlJc w:val="left"/>
      <w:pPr>
        <w:tabs>
          <w:tab w:val="left" w:pos="425"/>
        </w:tabs>
        <w:ind w:left="425" w:hanging="425"/>
      </w:pPr>
      <w:rPr>
        <w:rFonts w:hint="eastAsia" w:cs="Times New Roman"/>
      </w:rPr>
    </w:lvl>
    <w:lvl w:ilvl="1" w:tentative="0">
      <w:start w:val="1"/>
      <w:numFmt w:val="decimal"/>
      <w:lvlText w:val="%1.%2."/>
      <w:lvlJc w:val="left"/>
      <w:pPr>
        <w:tabs>
          <w:tab w:val="left" w:pos="747"/>
        </w:tabs>
        <w:ind w:left="74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0000011"/>
    <w:multiLevelType w:val="multilevel"/>
    <w:tmpl w:val="00000011"/>
    <w:lvl w:ilvl="0" w:tentative="0">
      <w:start w:val="1"/>
      <w:numFmt w:val="decimal"/>
      <w:lvlText w:val="（%1）"/>
      <w:lvlJc w:val="left"/>
      <w:pPr>
        <w:tabs>
          <w:tab w:val="left" w:pos="1230"/>
        </w:tabs>
        <w:ind w:firstLine="510"/>
      </w:pPr>
      <w:rPr>
        <w:rFonts w:hint="default" w:ascii="Arial" w:hAnsi="Arial" w:cs="Times New Roman"/>
        <w:b w:val="0"/>
        <w:i w:val="0"/>
        <w:sz w:val="24"/>
      </w:rPr>
    </w:lvl>
    <w:lvl w:ilvl="1" w:tentative="0">
      <w:start w:val="1"/>
      <w:numFmt w:val="lowerLetter"/>
      <w:pStyle w:val="134"/>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2"/>
    <w:multiLevelType w:val="singleLevel"/>
    <w:tmpl w:val="00000012"/>
    <w:lvl w:ilvl="0" w:tentative="0">
      <w:start w:val="1"/>
      <w:numFmt w:val="bullet"/>
      <w:pStyle w:val="116"/>
      <w:lvlText w:val=""/>
      <w:lvlJc w:val="left"/>
      <w:pPr>
        <w:tabs>
          <w:tab w:val="left" w:pos="1620"/>
        </w:tabs>
        <w:ind w:left="1620" w:hanging="360"/>
      </w:pPr>
      <w:rPr>
        <w:rFonts w:hint="default" w:ascii="Wingdings" w:hAnsi="Wingdings"/>
      </w:rPr>
    </w:lvl>
  </w:abstractNum>
  <w:abstractNum w:abstractNumId="8">
    <w:nsid w:val="00000013"/>
    <w:multiLevelType w:val="multilevel"/>
    <w:tmpl w:val="00000013"/>
    <w:lvl w:ilvl="0" w:tentative="0">
      <w:start w:val="1"/>
      <w:numFmt w:val="decimal"/>
      <w:pStyle w:val="140"/>
      <w:lvlText w:val="(%1)"/>
      <w:lvlJc w:val="left"/>
      <w:pPr>
        <w:tabs>
          <w:tab w:val="left" w:pos="397"/>
        </w:tabs>
        <w:ind w:left="397" w:hanging="397"/>
      </w:pPr>
      <w:rPr>
        <w:rFonts w:hint="default" w:ascii="Arial" w:hAnsi="Arial" w:eastAsia="宋体" w:cs="Times New Roman"/>
        <w:b w:val="0"/>
        <w:i w:val="0"/>
        <w:color w:val="auto"/>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184"/>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15"/>
    <w:multiLevelType w:val="singleLevel"/>
    <w:tmpl w:val="00000015"/>
    <w:lvl w:ilvl="0" w:tentative="0">
      <w:start w:val="1"/>
      <w:numFmt w:val="bullet"/>
      <w:pStyle w:val="129"/>
      <w:lvlText w:val=""/>
      <w:lvlJc w:val="left"/>
      <w:pPr>
        <w:tabs>
          <w:tab w:val="left" w:pos="1200"/>
        </w:tabs>
        <w:ind w:left="1200" w:hanging="360"/>
      </w:pPr>
      <w:rPr>
        <w:rFonts w:hint="default" w:ascii="Wingdings" w:hAnsi="Wingdings"/>
      </w:rPr>
    </w:lvl>
  </w:abstractNum>
  <w:abstractNum w:abstractNumId="10">
    <w:nsid w:val="00000016"/>
    <w:multiLevelType w:val="multilevel"/>
    <w:tmpl w:val="00000016"/>
    <w:lvl w:ilvl="0" w:tentative="0">
      <w:start w:val="1"/>
      <w:numFmt w:val="bullet"/>
      <w:pStyle w:val="22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1">
    <w:nsid w:val="00000017"/>
    <w:multiLevelType w:val="multilevel"/>
    <w:tmpl w:val="00000017"/>
    <w:lvl w:ilvl="0" w:tentative="0">
      <w:start w:val="1"/>
      <w:numFmt w:val="bullet"/>
      <w:pStyle w:val="18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8"/>
    <w:multiLevelType w:val="multilevel"/>
    <w:tmpl w:val="00000018"/>
    <w:lvl w:ilvl="0" w:tentative="0">
      <w:start w:val="1"/>
      <w:numFmt w:val="chineseCountingThousand"/>
      <w:pStyle w:val="16"/>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2"/>
  </w:num>
  <w:num w:numId="2">
    <w:abstractNumId w:val="2"/>
  </w:num>
  <w:num w:numId="3">
    <w:abstractNumId w:val="7"/>
  </w:num>
  <w:num w:numId="4">
    <w:abstractNumId w:val="9"/>
  </w:num>
  <w:num w:numId="5">
    <w:abstractNumId w:val="6"/>
  </w:num>
  <w:num w:numId="6">
    <w:abstractNumId w:val="8"/>
  </w:num>
  <w:num w:numId="7">
    <w:abstractNumId w:val="1"/>
  </w:num>
  <w:num w:numId="8">
    <w:abstractNumId w:val="3"/>
  </w:num>
  <w:num w:numId="9">
    <w:abstractNumId w:val="5"/>
  </w:num>
  <w:num w:numId="10">
    <w:abstractNumId w:val="11"/>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56F4F"/>
    <w:rsid w:val="000009C4"/>
    <w:rsid w:val="00000BB8"/>
    <w:rsid w:val="000030B1"/>
    <w:rsid w:val="00010BFE"/>
    <w:rsid w:val="000144C3"/>
    <w:rsid w:val="00017163"/>
    <w:rsid w:val="000209ED"/>
    <w:rsid w:val="000215ED"/>
    <w:rsid w:val="00021E82"/>
    <w:rsid w:val="000239CF"/>
    <w:rsid w:val="00025F4C"/>
    <w:rsid w:val="00026F41"/>
    <w:rsid w:val="00027CB7"/>
    <w:rsid w:val="00034A59"/>
    <w:rsid w:val="0003640D"/>
    <w:rsid w:val="00042048"/>
    <w:rsid w:val="000448E3"/>
    <w:rsid w:val="000512E1"/>
    <w:rsid w:val="00056047"/>
    <w:rsid w:val="000627D1"/>
    <w:rsid w:val="00063086"/>
    <w:rsid w:val="000727E0"/>
    <w:rsid w:val="0007525E"/>
    <w:rsid w:val="00082FF7"/>
    <w:rsid w:val="0008309C"/>
    <w:rsid w:val="000909A2"/>
    <w:rsid w:val="0009134F"/>
    <w:rsid w:val="00092BCE"/>
    <w:rsid w:val="0009353E"/>
    <w:rsid w:val="000951CD"/>
    <w:rsid w:val="00095890"/>
    <w:rsid w:val="000A250B"/>
    <w:rsid w:val="000B07C6"/>
    <w:rsid w:val="000B49A6"/>
    <w:rsid w:val="000B63D7"/>
    <w:rsid w:val="000C04BF"/>
    <w:rsid w:val="000C0727"/>
    <w:rsid w:val="000C0A47"/>
    <w:rsid w:val="000C27DF"/>
    <w:rsid w:val="000C280E"/>
    <w:rsid w:val="000E3619"/>
    <w:rsid w:val="000E4F8D"/>
    <w:rsid w:val="000F23A0"/>
    <w:rsid w:val="000F2F9A"/>
    <w:rsid w:val="000F4F81"/>
    <w:rsid w:val="000F7A2F"/>
    <w:rsid w:val="000F7B12"/>
    <w:rsid w:val="001006E4"/>
    <w:rsid w:val="00102B72"/>
    <w:rsid w:val="00107C52"/>
    <w:rsid w:val="0012099A"/>
    <w:rsid w:val="00121E96"/>
    <w:rsid w:val="00122420"/>
    <w:rsid w:val="0012346D"/>
    <w:rsid w:val="0012514E"/>
    <w:rsid w:val="0012543D"/>
    <w:rsid w:val="0012707C"/>
    <w:rsid w:val="00131359"/>
    <w:rsid w:val="00133450"/>
    <w:rsid w:val="00134DF7"/>
    <w:rsid w:val="001410F2"/>
    <w:rsid w:val="001416ED"/>
    <w:rsid w:val="001451DE"/>
    <w:rsid w:val="001504FB"/>
    <w:rsid w:val="00151102"/>
    <w:rsid w:val="00151FE0"/>
    <w:rsid w:val="001526AB"/>
    <w:rsid w:val="00157563"/>
    <w:rsid w:val="00161A59"/>
    <w:rsid w:val="00163FBA"/>
    <w:rsid w:val="0016583A"/>
    <w:rsid w:val="001664E6"/>
    <w:rsid w:val="001802D3"/>
    <w:rsid w:val="001805CE"/>
    <w:rsid w:val="00184831"/>
    <w:rsid w:val="0018534E"/>
    <w:rsid w:val="00186043"/>
    <w:rsid w:val="00190071"/>
    <w:rsid w:val="00192CB3"/>
    <w:rsid w:val="001945A9"/>
    <w:rsid w:val="001A20A7"/>
    <w:rsid w:val="001B1356"/>
    <w:rsid w:val="001B1E43"/>
    <w:rsid w:val="001B1E51"/>
    <w:rsid w:val="001B3F0A"/>
    <w:rsid w:val="001D4B42"/>
    <w:rsid w:val="001E0FAD"/>
    <w:rsid w:val="001E2C4E"/>
    <w:rsid w:val="001E7969"/>
    <w:rsid w:val="001F2CF8"/>
    <w:rsid w:val="001F7058"/>
    <w:rsid w:val="00203C4B"/>
    <w:rsid w:val="00207EA0"/>
    <w:rsid w:val="00213E8D"/>
    <w:rsid w:val="0022303F"/>
    <w:rsid w:val="00224B8E"/>
    <w:rsid w:val="00226A1B"/>
    <w:rsid w:val="00230A4C"/>
    <w:rsid w:val="00231F3A"/>
    <w:rsid w:val="00236260"/>
    <w:rsid w:val="00240523"/>
    <w:rsid w:val="00253323"/>
    <w:rsid w:val="0025622D"/>
    <w:rsid w:val="00265C40"/>
    <w:rsid w:val="00273B6B"/>
    <w:rsid w:val="00274A8D"/>
    <w:rsid w:val="002800B7"/>
    <w:rsid w:val="00281467"/>
    <w:rsid w:val="002830AB"/>
    <w:rsid w:val="00283A5F"/>
    <w:rsid w:val="00284858"/>
    <w:rsid w:val="002856BF"/>
    <w:rsid w:val="0028570A"/>
    <w:rsid w:val="002A0A8C"/>
    <w:rsid w:val="002A468A"/>
    <w:rsid w:val="002A7341"/>
    <w:rsid w:val="002B073C"/>
    <w:rsid w:val="002B66BA"/>
    <w:rsid w:val="002C236C"/>
    <w:rsid w:val="002C3B01"/>
    <w:rsid w:val="002C4068"/>
    <w:rsid w:val="002D4DBB"/>
    <w:rsid w:val="002E3388"/>
    <w:rsid w:val="002E7737"/>
    <w:rsid w:val="002F2235"/>
    <w:rsid w:val="002F3F80"/>
    <w:rsid w:val="003121AE"/>
    <w:rsid w:val="0031505E"/>
    <w:rsid w:val="003216E3"/>
    <w:rsid w:val="00323ADB"/>
    <w:rsid w:val="003343CD"/>
    <w:rsid w:val="00335F85"/>
    <w:rsid w:val="00336891"/>
    <w:rsid w:val="00337BF7"/>
    <w:rsid w:val="00337FFB"/>
    <w:rsid w:val="00340071"/>
    <w:rsid w:val="00343E03"/>
    <w:rsid w:val="0034504D"/>
    <w:rsid w:val="003514EB"/>
    <w:rsid w:val="003524FB"/>
    <w:rsid w:val="00355B13"/>
    <w:rsid w:val="00356903"/>
    <w:rsid w:val="00360D9A"/>
    <w:rsid w:val="003635F8"/>
    <w:rsid w:val="003639FC"/>
    <w:rsid w:val="00364F66"/>
    <w:rsid w:val="00367092"/>
    <w:rsid w:val="003728FE"/>
    <w:rsid w:val="00374981"/>
    <w:rsid w:val="0038558F"/>
    <w:rsid w:val="00386EB8"/>
    <w:rsid w:val="00390FB0"/>
    <w:rsid w:val="00393C64"/>
    <w:rsid w:val="00394069"/>
    <w:rsid w:val="003A2D93"/>
    <w:rsid w:val="003A6FC6"/>
    <w:rsid w:val="003A71A2"/>
    <w:rsid w:val="003A7766"/>
    <w:rsid w:val="003C0705"/>
    <w:rsid w:val="003C3584"/>
    <w:rsid w:val="003C5FEF"/>
    <w:rsid w:val="003C7AF5"/>
    <w:rsid w:val="003D15E8"/>
    <w:rsid w:val="003D3694"/>
    <w:rsid w:val="003D36E2"/>
    <w:rsid w:val="003D3B91"/>
    <w:rsid w:val="003D7825"/>
    <w:rsid w:val="003E748D"/>
    <w:rsid w:val="003F44E4"/>
    <w:rsid w:val="003F5479"/>
    <w:rsid w:val="003F5BD0"/>
    <w:rsid w:val="00401C71"/>
    <w:rsid w:val="00406F43"/>
    <w:rsid w:val="00407A05"/>
    <w:rsid w:val="00430D4D"/>
    <w:rsid w:val="0043439D"/>
    <w:rsid w:val="00447FFC"/>
    <w:rsid w:val="004562AC"/>
    <w:rsid w:val="004615E8"/>
    <w:rsid w:val="00462389"/>
    <w:rsid w:val="004724EF"/>
    <w:rsid w:val="00473B35"/>
    <w:rsid w:val="00475AAE"/>
    <w:rsid w:val="004761D9"/>
    <w:rsid w:val="004765C5"/>
    <w:rsid w:val="0047783A"/>
    <w:rsid w:val="00486C29"/>
    <w:rsid w:val="004919B5"/>
    <w:rsid w:val="00491A7B"/>
    <w:rsid w:val="004921C6"/>
    <w:rsid w:val="004935F9"/>
    <w:rsid w:val="0049527C"/>
    <w:rsid w:val="004A0C08"/>
    <w:rsid w:val="004B318F"/>
    <w:rsid w:val="004B674A"/>
    <w:rsid w:val="004C331E"/>
    <w:rsid w:val="004C7480"/>
    <w:rsid w:val="004D37CC"/>
    <w:rsid w:val="004D7C1B"/>
    <w:rsid w:val="004E40C9"/>
    <w:rsid w:val="004E67B0"/>
    <w:rsid w:val="004E71F5"/>
    <w:rsid w:val="004F4E60"/>
    <w:rsid w:val="00500478"/>
    <w:rsid w:val="005037E7"/>
    <w:rsid w:val="00504A2A"/>
    <w:rsid w:val="00507E9C"/>
    <w:rsid w:val="00511AC4"/>
    <w:rsid w:val="005152FC"/>
    <w:rsid w:val="00520A17"/>
    <w:rsid w:val="0052156E"/>
    <w:rsid w:val="00521D74"/>
    <w:rsid w:val="0052671A"/>
    <w:rsid w:val="00527AA3"/>
    <w:rsid w:val="00533E20"/>
    <w:rsid w:val="00542096"/>
    <w:rsid w:val="005427DA"/>
    <w:rsid w:val="00554394"/>
    <w:rsid w:val="0055586D"/>
    <w:rsid w:val="005574B5"/>
    <w:rsid w:val="00560CAA"/>
    <w:rsid w:val="00561A37"/>
    <w:rsid w:val="00565E74"/>
    <w:rsid w:val="00566DF6"/>
    <w:rsid w:val="00575210"/>
    <w:rsid w:val="0058000F"/>
    <w:rsid w:val="00582241"/>
    <w:rsid w:val="00582719"/>
    <w:rsid w:val="00584D28"/>
    <w:rsid w:val="0058639F"/>
    <w:rsid w:val="00587643"/>
    <w:rsid w:val="00591A72"/>
    <w:rsid w:val="0059690A"/>
    <w:rsid w:val="005A4CCA"/>
    <w:rsid w:val="005A7F0F"/>
    <w:rsid w:val="005B45CF"/>
    <w:rsid w:val="005B6DCB"/>
    <w:rsid w:val="005C1879"/>
    <w:rsid w:val="005C7B95"/>
    <w:rsid w:val="005C7F53"/>
    <w:rsid w:val="005D0044"/>
    <w:rsid w:val="005D1AD2"/>
    <w:rsid w:val="005D5E73"/>
    <w:rsid w:val="005E1056"/>
    <w:rsid w:val="005F2B3E"/>
    <w:rsid w:val="005F2BD1"/>
    <w:rsid w:val="005F33DA"/>
    <w:rsid w:val="005F5058"/>
    <w:rsid w:val="005F5EED"/>
    <w:rsid w:val="005F6247"/>
    <w:rsid w:val="006026A4"/>
    <w:rsid w:val="00607425"/>
    <w:rsid w:val="00610C5D"/>
    <w:rsid w:val="00615635"/>
    <w:rsid w:val="00615CAA"/>
    <w:rsid w:val="0062069C"/>
    <w:rsid w:val="0063317A"/>
    <w:rsid w:val="006422AD"/>
    <w:rsid w:val="00662A61"/>
    <w:rsid w:val="00675605"/>
    <w:rsid w:val="00676315"/>
    <w:rsid w:val="006933AE"/>
    <w:rsid w:val="0069718B"/>
    <w:rsid w:val="006A283A"/>
    <w:rsid w:val="006A735A"/>
    <w:rsid w:val="006B0193"/>
    <w:rsid w:val="006C24CF"/>
    <w:rsid w:val="006C2BF7"/>
    <w:rsid w:val="006C341F"/>
    <w:rsid w:val="006D4AB5"/>
    <w:rsid w:val="006D6ADB"/>
    <w:rsid w:val="006E10E3"/>
    <w:rsid w:val="006E27D6"/>
    <w:rsid w:val="006E4B25"/>
    <w:rsid w:val="006F74D1"/>
    <w:rsid w:val="00704371"/>
    <w:rsid w:val="007051FA"/>
    <w:rsid w:val="00707131"/>
    <w:rsid w:val="007227A6"/>
    <w:rsid w:val="00722881"/>
    <w:rsid w:val="00725DF0"/>
    <w:rsid w:val="00737D2E"/>
    <w:rsid w:val="00754C18"/>
    <w:rsid w:val="00755306"/>
    <w:rsid w:val="00756788"/>
    <w:rsid w:val="00756A74"/>
    <w:rsid w:val="00760353"/>
    <w:rsid w:val="0076077E"/>
    <w:rsid w:val="00763669"/>
    <w:rsid w:val="007745B2"/>
    <w:rsid w:val="00782E42"/>
    <w:rsid w:val="00793BB2"/>
    <w:rsid w:val="007A2C75"/>
    <w:rsid w:val="007A341A"/>
    <w:rsid w:val="007A39E7"/>
    <w:rsid w:val="007A56AB"/>
    <w:rsid w:val="007A7869"/>
    <w:rsid w:val="007B4C60"/>
    <w:rsid w:val="007B618E"/>
    <w:rsid w:val="007C1DB7"/>
    <w:rsid w:val="007C1EE8"/>
    <w:rsid w:val="007D0480"/>
    <w:rsid w:val="007D22A6"/>
    <w:rsid w:val="007D48F7"/>
    <w:rsid w:val="007D7DD3"/>
    <w:rsid w:val="007E1631"/>
    <w:rsid w:val="007F54C1"/>
    <w:rsid w:val="007F7307"/>
    <w:rsid w:val="007F78CB"/>
    <w:rsid w:val="00801A89"/>
    <w:rsid w:val="00807F1F"/>
    <w:rsid w:val="00810B97"/>
    <w:rsid w:val="008279C0"/>
    <w:rsid w:val="00827DDA"/>
    <w:rsid w:val="00830DCE"/>
    <w:rsid w:val="00836DAB"/>
    <w:rsid w:val="00856B5D"/>
    <w:rsid w:val="008623C4"/>
    <w:rsid w:val="00863F5A"/>
    <w:rsid w:val="008660EC"/>
    <w:rsid w:val="00866A9B"/>
    <w:rsid w:val="0088315E"/>
    <w:rsid w:val="00884E64"/>
    <w:rsid w:val="00892FCD"/>
    <w:rsid w:val="00894089"/>
    <w:rsid w:val="00894E6A"/>
    <w:rsid w:val="0089640A"/>
    <w:rsid w:val="008A7085"/>
    <w:rsid w:val="008A719B"/>
    <w:rsid w:val="008A7A4F"/>
    <w:rsid w:val="008B5AB1"/>
    <w:rsid w:val="008B6378"/>
    <w:rsid w:val="008C002A"/>
    <w:rsid w:val="008C058C"/>
    <w:rsid w:val="008C398C"/>
    <w:rsid w:val="008C6B32"/>
    <w:rsid w:val="008D423F"/>
    <w:rsid w:val="008D7AFB"/>
    <w:rsid w:val="008E6DE9"/>
    <w:rsid w:val="008F23A0"/>
    <w:rsid w:val="008F7B16"/>
    <w:rsid w:val="009014DC"/>
    <w:rsid w:val="0090212A"/>
    <w:rsid w:val="00904493"/>
    <w:rsid w:val="0090552F"/>
    <w:rsid w:val="00914966"/>
    <w:rsid w:val="009224A4"/>
    <w:rsid w:val="0092346A"/>
    <w:rsid w:val="00924836"/>
    <w:rsid w:val="00931427"/>
    <w:rsid w:val="009341EE"/>
    <w:rsid w:val="009342AE"/>
    <w:rsid w:val="00937AE5"/>
    <w:rsid w:val="00937C9B"/>
    <w:rsid w:val="00940C6C"/>
    <w:rsid w:val="0094383A"/>
    <w:rsid w:val="009444F6"/>
    <w:rsid w:val="00946BDD"/>
    <w:rsid w:val="00951650"/>
    <w:rsid w:val="009528CF"/>
    <w:rsid w:val="00954186"/>
    <w:rsid w:val="00956F4F"/>
    <w:rsid w:val="0096042F"/>
    <w:rsid w:val="0096552E"/>
    <w:rsid w:val="009855E6"/>
    <w:rsid w:val="00986FCC"/>
    <w:rsid w:val="009A480E"/>
    <w:rsid w:val="009B0D3C"/>
    <w:rsid w:val="009B7AE0"/>
    <w:rsid w:val="009C014B"/>
    <w:rsid w:val="009C0981"/>
    <w:rsid w:val="009C5B5D"/>
    <w:rsid w:val="009D1A7C"/>
    <w:rsid w:val="009D3CD1"/>
    <w:rsid w:val="009D5264"/>
    <w:rsid w:val="009D53C6"/>
    <w:rsid w:val="009D5488"/>
    <w:rsid w:val="009E12D7"/>
    <w:rsid w:val="009E539F"/>
    <w:rsid w:val="009F276C"/>
    <w:rsid w:val="009F3A43"/>
    <w:rsid w:val="009F6E14"/>
    <w:rsid w:val="009F7823"/>
    <w:rsid w:val="00A025B3"/>
    <w:rsid w:val="00A05B91"/>
    <w:rsid w:val="00A1089F"/>
    <w:rsid w:val="00A16DD1"/>
    <w:rsid w:val="00A30ACF"/>
    <w:rsid w:val="00A433D1"/>
    <w:rsid w:val="00A50B23"/>
    <w:rsid w:val="00A520E7"/>
    <w:rsid w:val="00A52BF2"/>
    <w:rsid w:val="00A610AE"/>
    <w:rsid w:val="00A61B7D"/>
    <w:rsid w:val="00A63107"/>
    <w:rsid w:val="00A6433A"/>
    <w:rsid w:val="00A65707"/>
    <w:rsid w:val="00A707EA"/>
    <w:rsid w:val="00A805DE"/>
    <w:rsid w:val="00A85EEB"/>
    <w:rsid w:val="00A91509"/>
    <w:rsid w:val="00AA7EFF"/>
    <w:rsid w:val="00AB047D"/>
    <w:rsid w:val="00AB3C06"/>
    <w:rsid w:val="00AB67D1"/>
    <w:rsid w:val="00AC026C"/>
    <w:rsid w:val="00AC257F"/>
    <w:rsid w:val="00AC48C1"/>
    <w:rsid w:val="00AC4E02"/>
    <w:rsid w:val="00AC5CC6"/>
    <w:rsid w:val="00AC6DF9"/>
    <w:rsid w:val="00AD3DEC"/>
    <w:rsid w:val="00AD46C3"/>
    <w:rsid w:val="00AD7F0A"/>
    <w:rsid w:val="00AF1C09"/>
    <w:rsid w:val="00AF2CB2"/>
    <w:rsid w:val="00AF39F4"/>
    <w:rsid w:val="00AF4D34"/>
    <w:rsid w:val="00AF7717"/>
    <w:rsid w:val="00B006CD"/>
    <w:rsid w:val="00B1247A"/>
    <w:rsid w:val="00B2212E"/>
    <w:rsid w:val="00B23380"/>
    <w:rsid w:val="00B27A94"/>
    <w:rsid w:val="00B31670"/>
    <w:rsid w:val="00B326E0"/>
    <w:rsid w:val="00B33246"/>
    <w:rsid w:val="00B33C8F"/>
    <w:rsid w:val="00B3613A"/>
    <w:rsid w:val="00B36167"/>
    <w:rsid w:val="00B41A7E"/>
    <w:rsid w:val="00B43996"/>
    <w:rsid w:val="00B507C3"/>
    <w:rsid w:val="00B51F86"/>
    <w:rsid w:val="00B5204F"/>
    <w:rsid w:val="00B61092"/>
    <w:rsid w:val="00B71F7B"/>
    <w:rsid w:val="00B71FC5"/>
    <w:rsid w:val="00B74445"/>
    <w:rsid w:val="00B816A8"/>
    <w:rsid w:val="00B823F5"/>
    <w:rsid w:val="00B8375F"/>
    <w:rsid w:val="00B85AF7"/>
    <w:rsid w:val="00B934AF"/>
    <w:rsid w:val="00B96904"/>
    <w:rsid w:val="00BA622F"/>
    <w:rsid w:val="00BA6597"/>
    <w:rsid w:val="00BB225B"/>
    <w:rsid w:val="00BB2C8D"/>
    <w:rsid w:val="00BB39EA"/>
    <w:rsid w:val="00BB6215"/>
    <w:rsid w:val="00BC54F4"/>
    <w:rsid w:val="00BD057C"/>
    <w:rsid w:val="00BD076F"/>
    <w:rsid w:val="00BD3D66"/>
    <w:rsid w:val="00BE7A53"/>
    <w:rsid w:val="00BF0FEE"/>
    <w:rsid w:val="00C0688F"/>
    <w:rsid w:val="00C1102B"/>
    <w:rsid w:val="00C1232A"/>
    <w:rsid w:val="00C13D49"/>
    <w:rsid w:val="00C21C40"/>
    <w:rsid w:val="00C24F1C"/>
    <w:rsid w:val="00C34398"/>
    <w:rsid w:val="00C35361"/>
    <w:rsid w:val="00C51E26"/>
    <w:rsid w:val="00C549A8"/>
    <w:rsid w:val="00C61278"/>
    <w:rsid w:val="00C61ED5"/>
    <w:rsid w:val="00C6631D"/>
    <w:rsid w:val="00C67C5E"/>
    <w:rsid w:val="00C75262"/>
    <w:rsid w:val="00C76154"/>
    <w:rsid w:val="00C8235E"/>
    <w:rsid w:val="00C83111"/>
    <w:rsid w:val="00C842E7"/>
    <w:rsid w:val="00C90950"/>
    <w:rsid w:val="00C911E5"/>
    <w:rsid w:val="00C95146"/>
    <w:rsid w:val="00C95D97"/>
    <w:rsid w:val="00C962F6"/>
    <w:rsid w:val="00C9736E"/>
    <w:rsid w:val="00C97DD2"/>
    <w:rsid w:val="00CA2645"/>
    <w:rsid w:val="00CA5379"/>
    <w:rsid w:val="00CA54DA"/>
    <w:rsid w:val="00CA67FB"/>
    <w:rsid w:val="00CB4D2E"/>
    <w:rsid w:val="00CB6B72"/>
    <w:rsid w:val="00CC1F96"/>
    <w:rsid w:val="00CC4F94"/>
    <w:rsid w:val="00CC5775"/>
    <w:rsid w:val="00CD508B"/>
    <w:rsid w:val="00CE7462"/>
    <w:rsid w:val="00CF1510"/>
    <w:rsid w:val="00D06179"/>
    <w:rsid w:val="00D10C51"/>
    <w:rsid w:val="00D205EE"/>
    <w:rsid w:val="00D213DE"/>
    <w:rsid w:val="00D22A43"/>
    <w:rsid w:val="00D22C05"/>
    <w:rsid w:val="00D23E85"/>
    <w:rsid w:val="00D30397"/>
    <w:rsid w:val="00D3213B"/>
    <w:rsid w:val="00D40FAC"/>
    <w:rsid w:val="00D4477B"/>
    <w:rsid w:val="00D44F50"/>
    <w:rsid w:val="00D5189C"/>
    <w:rsid w:val="00D521B9"/>
    <w:rsid w:val="00D5237B"/>
    <w:rsid w:val="00D57DB2"/>
    <w:rsid w:val="00D604E6"/>
    <w:rsid w:val="00D614B3"/>
    <w:rsid w:val="00D6531F"/>
    <w:rsid w:val="00D672F3"/>
    <w:rsid w:val="00D708FC"/>
    <w:rsid w:val="00D74936"/>
    <w:rsid w:val="00D83658"/>
    <w:rsid w:val="00D8590C"/>
    <w:rsid w:val="00D85A02"/>
    <w:rsid w:val="00D92233"/>
    <w:rsid w:val="00D950A3"/>
    <w:rsid w:val="00D962B7"/>
    <w:rsid w:val="00D975A1"/>
    <w:rsid w:val="00DA56B9"/>
    <w:rsid w:val="00DB0831"/>
    <w:rsid w:val="00DB6B01"/>
    <w:rsid w:val="00DB7A32"/>
    <w:rsid w:val="00DD0C3B"/>
    <w:rsid w:val="00DD22D1"/>
    <w:rsid w:val="00DD25CE"/>
    <w:rsid w:val="00DD288D"/>
    <w:rsid w:val="00DD334A"/>
    <w:rsid w:val="00DF52CD"/>
    <w:rsid w:val="00DF7462"/>
    <w:rsid w:val="00E005E9"/>
    <w:rsid w:val="00E0135F"/>
    <w:rsid w:val="00E03BA6"/>
    <w:rsid w:val="00E0677F"/>
    <w:rsid w:val="00E070A7"/>
    <w:rsid w:val="00E144B8"/>
    <w:rsid w:val="00E14BB6"/>
    <w:rsid w:val="00E248AA"/>
    <w:rsid w:val="00E257B7"/>
    <w:rsid w:val="00E416FC"/>
    <w:rsid w:val="00E44AB9"/>
    <w:rsid w:val="00E50196"/>
    <w:rsid w:val="00E623D7"/>
    <w:rsid w:val="00E67F17"/>
    <w:rsid w:val="00E7325D"/>
    <w:rsid w:val="00E75072"/>
    <w:rsid w:val="00E803C4"/>
    <w:rsid w:val="00E9161A"/>
    <w:rsid w:val="00E97450"/>
    <w:rsid w:val="00EA14C1"/>
    <w:rsid w:val="00EA723A"/>
    <w:rsid w:val="00EB010E"/>
    <w:rsid w:val="00EC06D8"/>
    <w:rsid w:val="00EC1B0F"/>
    <w:rsid w:val="00EC5416"/>
    <w:rsid w:val="00EC7354"/>
    <w:rsid w:val="00EC73FA"/>
    <w:rsid w:val="00ED133C"/>
    <w:rsid w:val="00ED1473"/>
    <w:rsid w:val="00ED2058"/>
    <w:rsid w:val="00ED438A"/>
    <w:rsid w:val="00EE62AD"/>
    <w:rsid w:val="00EE6966"/>
    <w:rsid w:val="00EE7370"/>
    <w:rsid w:val="00EF2142"/>
    <w:rsid w:val="00EF3A6A"/>
    <w:rsid w:val="00EF5FF2"/>
    <w:rsid w:val="00F00D39"/>
    <w:rsid w:val="00F02986"/>
    <w:rsid w:val="00F06988"/>
    <w:rsid w:val="00F141B6"/>
    <w:rsid w:val="00F15212"/>
    <w:rsid w:val="00F15737"/>
    <w:rsid w:val="00F20262"/>
    <w:rsid w:val="00F20D43"/>
    <w:rsid w:val="00F20F83"/>
    <w:rsid w:val="00F228A1"/>
    <w:rsid w:val="00F23101"/>
    <w:rsid w:val="00F270B0"/>
    <w:rsid w:val="00F33411"/>
    <w:rsid w:val="00F36C25"/>
    <w:rsid w:val="00F36E5D"/>
    <w:rsid w:val="00F4072F"/>
    <w:rsid w:val="00F476AC"/>
    <w:rsid w:val="00F51C6B"/>
    <w:rsid w:val="00F569DF"/>
    <w:rsid w:val="00F56A1D"/>
    <w:rsid w:val="00F70022"/>
    <w:rsid w:val="00F754A2"/>
    <w:rsid w:val="00F85A26"/>
    <w:rsid w:val="00F86DBD"/>
    <w:rsid w:val="00F87DB3"/>
    <w:rsid w:val="00F93B20"/>
    <w:rsid w:val="00F9783D"/>
    <w:rsid w:val="00FA5260"/>
    <w:rsid w:val="00FB2C7F"/>
    <w:rsid w:val="00FB3D6E"/>
    <w:rsid w:val="00FB503F"/>
    <w:rsid w:val="00FB709A"/>
    <w:rsid w:val="00FD1EAB"/>
    <w:rsid w:val="00FD4C4F"/>
    <w:rsid w:val="00FE0047"/>
    <w:rsid w:val="00FE06F0"/>
    <w:rsid w:val="00FE1D6E"/>
    <w:rsid w:val="00FF14F3"/>
    <w:rsid w:val="00FF276E"/>
    <w:rsid w:val="00FF6278"/>
    <w:rsid w:val="038A7E69"/>
    <w:rsid w:val="06436C6A"/>
    <w:rsid w:val="11F96985"/>
    <w:rsid w:val="174855F9"/>
    <w:rsid w:val="35D1578C"/>
    <w:rsid w:val="3C637E70"/>
    <w:rsid w:val="4F89077E"/>
    <w:rsid w:val="56A11CAE"/>
    <w:rsid w:val="6EFF14AD"/>
    <w:rsid w:val="7B31288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ocked="1"/>
    <w:lsdException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uiPriority="99" w:name="Normal Indent" w:locked="1"/>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47"/>
    <w:qFormat/>
    <w:locked/>
    <w:uiPriority w:val="99"/>
    <w:pPr>
      <w:keepNext/>
      <w:keepLines/>
      <w:spacing w:before="260" w:after="260" w:line="415" w:lineRule="auto"/>
      <w:jc w:val="center"/>
      <w:outlineLvl w:val="2"/>
    </w:pPr>
    <w:rPr>
      <w:b/>
      <w:bCs/>
      <w:kern w:val="0"/>
      <w:sz w:val="32"/>
      <w:szCs w:val="32"/>
    </w:rPr>
  </w:style>
  <w:style w:type="paragraph" w:styleId="5">
    <w:name w:val="heading 4"/>
    <w:basedOn w:val="1"/>
    <w:next w:val="1"/>
    <w:link w:val="48"/>
    <w:qFormat/>
    <w:locked/>
    <w:uiPriority w:val="99"/>
    <w:pPr>
      <w:keepNext/>
      <w:keepLines/>
      <w:tabs>
        <w:tab w:val="left" w:pos="720"/>
        <w:tab w:val="left" w:pos="780"/>
      </w:tabs>
      <w:spacing w:before="560" w:after="290" w:line="377" w:lineRule="auto"/>
      <w:ind w:left="420" w:hanging="420"/>
      <w:outlineLvl w:val="3"/>
    </w:pPr>
    <w:rPr>
      <w:rFonts w:ascii="Cambria" w:hAnsi="Cambria"/>
      <w:b/>
      <w:bCs/>
      <w:kern w:val="0"/>
      <w:sz w:val="28"/>
      <w:szCs w:val="28"/>
    </w:rPr>
  </w:style>
  <w:style w:type="paragraph" w:styleId="6">
    <w:name w:val="heading 5"/>
    <w:basedOn w:val="1"/>
    <w:next w:val="1"/>
    <w:link w:val="49"/>
    <w:qFormat/>
    <w:locked/>
    <w:uiPriority w:val="99"/>
    <w:pPr>
      <w:keepNext/>
      <w:keepLines/>
      <w:tabs>
        <w:tab w:val="left" w:pos="2551"/>
      </w:tabs>
      <w:spacing w:before="280" w:after="290" w:line="374" w:lineRule="auto"/>
      <w:ind w:left="2551" w:hanging="850"/>
      <w:outlineLvl w:val="4"/>
    </w:pPr>
    <w:rPr>
      <w:b/>
      <w:bCs/>
      <w:kern w:val="0"/>
      <w:sz w:val="28"/>
      <w:szCs w:val="28"/>
    </w:rPr>
  </w:style>
  <w:style w:type="paragraph" w:styleId="7">
    <w:name w:val="heading 6"/>
    <w:basedOn w:val="1"/>
    <w:next w:val="1"/>
    <w:link w:val="50"/>
    <w:qFormat/>
    <w:locked/>
    <w:uiPriority w:val="99"/>
    <w:pPr>
      <w:keepNext/>
      <w:keepLines/>
      <w:tabs>
        <w:tab w:val="left" w:pos="1152"/>
      </w:tabs>
      <w:adjustRightInd w:val="0"/>
      <w:snapToGrid w:val="0"/>
      <w:spacing w:before="240" w:after="64" w:line="319" w:lineRule="auto"/>
      <w:ind w:left="1152" w:hanging="1152"/>
      <w:outlineLvl w:val="5"/>
    </w:pPr>
    <w:rPr>
      <w:rFonts w:ascii="Cambria" w:hAnsi="Cambria"/>
      <w:b/>
      <w:bCs/>
      <w:kern w:val="0"/>
      <w:sz w:val="24"/>
      <w:szCs w:val="24"/>
    </w:rPr>
  </w:style>
  <w:style w:type="paragraph" w:styleId="8">
    <w:name w:val="heading 7"/>
    <w:basedOn w:val="1"/>
    <w:next w:val="1"/>
    <w:link w:val="51"/>
    <w:qFormat/>
    <w:locked/>
    <w:uiPriority w:val="99"/>
    <w:pPr>
      <w:keepNext/>
      <w:keepLines/>
      <w:tabs>
        <w:tab w:val="left" w:pos="1296"/>
      </w:tabs>
      <w:adjustRightInd w:val="0"/>
      <w:snapToGrid w:val="0"/>
      <w:spacing w:before="240" w:after="64" w:line="317" w:lineRule="auto"/>
      <w:ind w:left="1296" w:hanging="1296"/>
      <w:outlineLvl w:val="6"/>
    </w:pPr>
    <w:rPr>
      <w:b/>
      <w:bCs/>
      <w:kern w:val="0"/>
      <w:sz w:val="24"/>
      <w:szCs w:val="24"/>
    </w:rPr>
  </w:style>
  <w:style w:type="paragraph" w:styleId="9">
    <w:name w:val="heading 8"/>
    <w:basedOn w:val="1"/>
    <w:next w:val="1"/>
    <w:link w:val="52"/>
    <w:qFormat/>
    <w:locked/>
    <w:uiPriority w:val="99"/>
    <w:pPr>
      <w:keepNext/>
      <w:keepLines/>
      <w:tabs>
        <w:tab w:val="left" w:pos="1440"/>
      </w:tabs>
      <w:adjustRightInd w:val="0"/>
      <w:snapToGrid w:val="0"/>
      <w:spacing w:before="240" w:after="64" w:line="319" w:lineRule="auto"/>
      <w:ind w:left="1440" w:hanging="1440"/>
      <w:outlineLvl w:val="7"/>
    </w:pPr>
    <w:rPr>
      <w:rFonts w:ascii="Cambria" w:hAnsi="Cambria"/>
      <w:kern w:val="0"/>
      <w:sz w:val="24"/>
      <w:szCs w:val="24"/>
    </w:rPr>
  </w:style>
  <w:style w:type="paragraph" w:styleId="10">
    <w:name w:val="heading 9"/>
    <w:basedOn w:val="1"/>
    <w:next w:val="1"/>
    <w:link w:val="53"/>
    <w:qFormat/>
    <w:locked/>
    <w:uiPriority w:val="99"/>
    <w:pPr>
      <w:keepNext/>
      <w:keepLines/>
      <w:tabs>
        <w:tab w:val="left" w:pos="1584"/>
      </w:tabs>
      <w:adjustRightInd w:val="0"/>
      <w:snapToGrid w:val="0"/>
      <w:spacing w:before="240" w:after="64" w:line="319" w:lineRule="auto"/>
      <w:ind w:left="1584" w:hanging="1584"/>
      <w:outlineLvl w:val="8"/>
    </w:pPr>
    <w:rPr>
      <w:rFonts w:ascii="Cambria" w:hAnsi="Cambria"/>
      <w:kern w:val="0"/>
      <w:sz w:val="20"/>
      <w:szCs w:val="21"/>
    </w:rPr>
  </w:style>
  <w:style w:type="character" w:default="1" w:styleId="35">
    <w:name w:val="Default Paragraph Font"/>
    <w:semiHidden/>
    <w:unhideWhenUsed/>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245"/>
    <w:semiHidden/>
    <w:uiPriority w:val="99"/>
    <w:pPr>
      <w:widowControl w:val="0"/>
      <w:tabs>
        <w:tab w:val="left" w:pos="1134"/>
      </w:tabs>
      <w:adjustRightInd/>
      <w:snapToGrid/>
      <w:spacing w:line="240" w:lineRule="auto"/>
    </w:pPr>
    <w:rPr>
      <w:rFonts w:eastAsia="宋体"/>
      <w:b/>
      <w:kern w:val="2"/>
      <w:sz w:val="28"/>
      <w:lang w:eastAsia="zh-CN"/>
    </w:rPr>
  </w:style>
  <w:style w:type="paragraph" w:styleId="12">
    <w:name w:val="annotation text"/>
    <w:basedOn w:val="1"/>
    <w:link w:val="244"/>
    <w:qFormat/>
    <w:uiPriority w:val="99"/>
    <w:pPr>
      <w:widowControl/>
      <w:tabs>
        <w:tab w:val="left" w:pos="1134"/>
      </w:tabs>
      <w:adjustRightInd w:val="0"/>
      <w:snapToGrid w:val="0"/>
      <w:spacing w:line="280" w:lineRule="atLeast"/>
      <w:jc w:val="left"/>
    </w:pPr>
    <w:rPr>
      <w:rFonts w:eastAsia="PMingLiU"/>
      <w:kern w:val="0"/>
      <w:sz w:val="24"/>
      <w:szCs w:val="20"/>
      <w:lang w:eastAsia="zh-TW"/>
    </w:rPr>
  </w:style>
  <w:style w:type="paragraph" w:styleId="13">
    <w:name w:val="toc 7"/>
    <w:basedOn w:val="1"/>
    <w:next w:val="1"/>
    <w:qFormat/>
    <w:locked/>
    <w:uiPriority w:val="99"/>
    <w:pPr>
      <w:widowControl/>
      <w:ind w:left="1260"/>
      <w:jc w:val="left"/>
    </w:pPr>
    <w:rPr>
      <w:rFonts w:ascii="Times New Roman" w:hAnsi="Times New Roman"/>
      <w:kern w:val="0"/>
      <w:sz w:val="20"/>
      <w:szCs w:val="20"/>
    </w:rPr>
  </w:style>
  <w:style w:type="paragraph" w:styleId="14">
    <w:name w:val="List Bullet 4"/>
    <w:basedOn w:val="1"/>
    <w:qFormat/>
    <w:uiPriority w:val="99"/>
    <w:pPr>
      <w:widowControl/>
      <w:tabs>
        <w:tab w:val="left" w:pos="1134"/>
        <w:tab w:val="left" w:pos="1200"/>
      </w:tabs>
      <w:adjustRightInd w:val="0"/>
      <w:snapToGrid w:val="0"/>
      <w:spacing w:before="120" w:line="280" w:lineRule="atLeast"/>
      <w:ind w:left="1418" w:hanging="284"/>
      <w:jc w:val="left"/>
    </w:pPr>
    <w:rPr>
      <w:rFonts w:ascii="宋体" w:hAnsi="Times New Roman"/>
      <w:kern w:val="0"/>
      <w:sz w:val="22"/>
      <w:szCs w:val="20"/>
    </w:rPr>
  </w:style>
  <w:style w:type="paragraph" w:styleId="15">
    <w:name w:val="caption"/>
    <w:basedOn w:val="1"/>
    <w:next w:val="1"/>
    <w:qFormat/>
    <w:locked/>
    <w:uiPriority w:val="99"/>
    <w:pPr>
      <w:widowControl/>
      <w:tabs>
        <w:tab w:val="left" w:pos="1134"/>
      </w:tabs>
      <w:adjustRightInd w:val="0"/>
      <w:snapToGrid w:val="0"/>
      <w:spacing w:line="280" w:lineRule="atLeast"/>
      <w:jc w:val="left"/>
    </w:pPr>
    <w:rPr>
      <w:rFonts w:ascii="Times New Roman" w:hAnsi="Times New Roman" w:eastAsia="PMingLiU"/>
      <w:b/>
      <w:kern w:val="0"/>
      <w:sz w:val="24"/>
      <w:szCs w:val="20"/>
      <w:lang w:eastAsia="zh-TW"/>
    </w:rPr>
  </w:style>
  <w:style w:type="paragraph" w:styleId="16">
    <w:name w:val="List Bullet 3"/>
    <w:basedOn w:val="1"/>
    <w:qFormat/>
    <w:uiPriority w:val="99"/>
    <w:pPr>
      <w:numPr>
        <w:ilvl w:val="0"/>
        <w:numId w:val="1"/>
      </w:numPr>
      <w:tabs>
        <w:tab w:val="left" w:pos="1200"/>
        <w:tab w:val="clear" w:pos="720"/>
      </w:tabs>
      <w:adjustRightInd w:val="0"/>
      <w:snapToGrid w:val="0"/>
      <w:spacing w:line="360" w:lineRule="auto"/>
      <w:ind w:left="1200" w:hanging="360"/>
    </w:pPr>
    <w:rPr>
      <w:rFonts w:ascii="Times New Roman" w:hAnsi="Times New Roman"/>
      <w:sz w:val="24"/>
      <w:szCs w:val="20"/>
    </w:rPr>
  </w:style>
  <w:style w:type="paragraph" w:styleId="17">
    <w:name w:val="Body Text"/>
    <w:basedOn w:val="1"/>
    <w:link w:val="103"/>
    <w:qFormat/>
    <w:uiPriority w:val="99"/>
    <w:rPr>
      <w:rFonts w:ascii="FangSong_GB2312" w:hAnsi="Times New Roman" w:eastAsia="Times New Roman"/>
      <w:sz w:val="32"/>
      <w:szCs w:val="20"/>
    </w:rPr>
  </w:style>
  <w:style w:type="paragraph" w:styleId="18">
    <w:name w:val="Body Text Indent"/>
    <w:basedOn w:val="1"/>
    <w:link w:val="247"/>
    <w:unhideWhenUsed/>
    <w:qFormat/>
    <w:locked/>
    <w:uiPriority w:val="99"/>
    <w:pPr>
      <w:spacing w:after="120"/>
      <w:ind w:left="420" w:leftChars="200"/>
    </w:pPr>
  </w:style>
  <w:style w:type="paragraph" w:styleId="19">
    <w:name w:val="List Bullet 2"/>
    <w:basedOn w:val="1"/>
    <w:qFormat/>
    <w:uiPriority w:val="99"/>
    <w:pPr>
      <w:tabs>
        <w:tab w:val="left" w:pos="780"/>
        <w:tab w:val="left" w:pos="1620"/>
      </w:tabs>
      <w:adjustRightInd w:val="0"/>
      <w:snapToGrid w:val="0"/>
      <w:spacing w:line="360" w:lineRule="auto"/>
      <w:ind w:left="780" w:hanging="360"/>
    </w:pPr>
    <w:rPr>
      <w:rFonts w:ascii="Times New Roman" w:hAnsi="Times New Roman"/>
      <w:sz w:val="24"/>
      <w:szCs w:val="20"/>
    </w:rPr>
  </w:style>
  <w:style w:type="paragraph" w:styleId="20">
    <w:name w:val="toc 5"/>
    <w:basedOn w:val="1"/>
    <w:next w:val="1"/>
    <w:qFormat/>
    <w:locked/>
    <w:uiPriority w:val="99"/>
    <w:pPr>
      <w:widowControl/>
      <w:ind w:left="840"/>
      <w:jc w:val="left"/>
    </w:pPr>
    <w:rPr>
      <w:rFonts w:ascii="Times New Roman" w:hAnsi="Times New Roman"/>
      <w:kern w:val="0"/>
      <w:sz w:val="20"/>
      <w:szCs w:val="20"/>
    </w:rPr>
  </w:style>
  <w:style w:type="paragraph" w:styleId="21">
    <w:name w:val="toc 3"/>
    <w:basedOn w:val="1"/>
    <w:next w:val="1"/>
    <w:qFormat/>
    <w:locked/>
    <w:uiPriority w:val="99"/>
    <w:pPr>
      <w:widowControl/>
      <w:ind w:left="420"/>
      <w:jc w:val="left"/>
    </w:pPr>
    <w:rPr>
      <w:rFonts w:ascii="Times New Roman" w:hAnsi="Times New Roman"/>
      <w:kern w:val="0"/>
      <w:sz w:val="20"/>
      <w:szCs w:val="20"/>
    </w:rPr>
  </w:style>
  <w:style w:type="paragraph" w:styleId="22">
    <w:name w:val="Plain Text"/>
    <w:basedOn w:val="1"/>
    <w:link w:val="246"/>
    <w:qFormat/>
    <w:locked/>
    <w:uiPriority w:val="99"/>
    <w:pPr>
      <w:adjustRightInd w:val="0"/>
      <w:snapToGrid w:val="0"/>
      <w:spacing w:line="360" w:lineRule="auto"/>
    </w:pPr>
    <w:rPr>
      <w:rFonts w:ascii="宋体" w:hAnsi="Courier New"/>
      <w:szCs w:val="20"/>
    </w:rPr>
  </w:style>
  <w:style w:type="paragraph" w:styleId="23">
    <w:name w:val="toc 8"/>
    <w:basedOn w:val="1"/>
    <w:next w:val="1"/>
    <w:qFormat/>
    <w:locked/>
    <w:uiPriority w:val="99"/>
    <w:pPr>
      <w:widowControl/>
      <w:ind w:left="1470"/>
      <w:jc w:val="left"/>
    </w:pPr>
    <w:rPr>
      <w:rFonts w:ascii="Times New Roman" w:hAnsi="Times New Roman"/>
      <w:kern w:val="0"/>
      <w:sz w:val="20"/>
      <w:szCs w:val="20"/>
    </w:rPr>
  </w:style>
  <w:style w:type="paragraph" w:styleId="24">
    <w:name w:val="Date"/>
    <w:basedOn w:val="1"/>
    <w:next w:val="1"/>
    <w:link w:val="58"/>
    <w:qFormat/>
    <w:uiPriority w:val="99"/>
    <w:rPr>
      <w:kern w:val="0"/>
      <w:sz w:val="20"/>
      <w:szCs w:val="20"/>
    </w:rPr>
  </w:style>
  <w:style w:type="paragraph" w:styleId="25">
    <w:name w:val="Balloon Text"/>
    <w:basedOn w:val="1"/>
    <w:link w:val="62"/>
    <w:semiHidden/>
    <w:qFormat/>
    <w:uiPriority w:val="99"/>
    <w:rPr>
      <w:kern w:val="0"/>
      <w:sz w:val="18"/>
      <w:szCs w:val="18"/>
    </w:rPr>
  </w:style>
  <w:style w:type="paragraph" w:styleId="26">
    <w:name w:val="footer"/>
    <w:basedOn w:val="1"/>
    <w:link w:val="61"/>
    <w:qFormat/>
    <w:uiPriority w:val="99"/>
    <w:pPr>
      <w:tabs>
        <w:tab w:val="center" w:pos="4153"/>
        <w:tab w:val="right" w:pos="8306"/>
      </w:tabs>
      <w:snapToGrid w:val="0"/>
      <w:jc w:val="left"/>
    </w:pPr>
    <w:rPr>
      <w:kern w:val="0"/>
      <w:sz w:val="18"/>
      <w:szCs w:val="18"/>
    </w:rPr>
  </w:style>
  <w:style w:type="paragraph" w:styleId="27">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99"/>
  </w:style>
  <w:style w:type="paragraph" w:styleId="29">
    <w:name w:val="toc 4"/>
    <w:basedOn w:val="1"/>
    <w:next w:val="1"/>
    <w:locked/>
    <w:uiPriority w:val="99"/>
    <w:pPr>
      <w:widowControl/>
      <w:ind w:left="630"/>
      <w:jc w:val="left"/>
    </w:pPr>
    <w:rPr>
      <w:rFonts w:ascii="Times New Roman" w:hAnsi="Times New Roman"/>
      <w:kern w:val="0"/>
      <w:sz w:val="20"/>
      <w:szCs w:val="20"/>
    </w:rPr>
  </w:style>
  <w:style w:type="paragraph" w:styleId="30">
    <w:name w:val="footnote text"/>
    <w:basedOn w:val="1"/>
    <w:link w:val="104"/>
    <w:qFormat/>
    <w:uiPriority w:val="99"/>
    <w:pPr>
      <w:spacing w:line="360" w:lineRule="auto"/>
    </w:pPr>
    <w:rPr>
      <w:kern w:val="0"/>
      <w:sz w:val="18"/>
      <w:szCs w:val="18"/>
    </w:rPr>
  </w:style>
  <w:style w:type="paragraph" w:styleId="31">
    <w:name w:val="toc 6"/>
    <w:basedOn w:val="1"/>
    <w:next w:val="1"/>
    <w:qFormat/>
    <w:locked/>
    <w:uiPriority w:val="99"/>
    <w:pPr>
      <w:widowControl/>
      <w:ind w:left="1050"/>
      <w:jc w:val="left"/>
    </w:pPr>
    <w:rPr>
      <w:rFonts w:ascii="Times New Roman" w:hAnsi="Times New Roman"/>
      <w:kern w:val="0"/>
      <w:sz w:val="20"/>
      <w:szCs w:val="20"/>
    </w:rPr>
  </w:style>
  <w:style w:type="paragraph" w:styleId="32">
    <w:name w:val="toc 2"/>
    <w:basedOn w:val="1"/>
    <w:next w:val="1"/>
    <w:qFormat/>
    <w:uiPriority w:val="99"/>
    <w:pPr>
      <w:ind w:left="420" w:leftChars="200"/>
    </w:pPr>
  </w:style>
  <w:style w:type="paragraph" w:styleId="33">
    <w:name w:val="toc 9"/>
    <w:basedOn w:val="1"/>
    <w:next w:val="1"/>
    <w:qFormat/>
    <w:locked/>
    <w:uiPriority w:val="99"/>
    <w:pPr>
      <w:widowControl/>
      <w:ind w:left="1680"/>
      <w:jc w:val="left"/>
    </w:pPr>
    <w:rPr>
      <w:rFonts w:ascii="Times New Roman" w:hAnsi="Times New Roman"/>
      <w:kern w:val="0"/>
      <w:sz w:val="20"/>
      <w:szCs w:val="20"/>
    </w:rPr>
  </w:style>
  <w:style w:type="paragraph" w:styleId="34">
    <w:name w:val="Title"/>
    <w:basedOn w:val="1"/>
    <w:link w:val="99"/>
    <w:qFormat/>
    <w:locked/>
    <w:uiPriority w:val="99"/>
    <w:pPr>
      <w:widowControl/>
      <w:spacing w:after="240" w:line="360" w:lineRule="auto"/>
      <w:jc w:val="center"/>
    </w:pPr>
    <w:rPr>
      <w:rFonts w:ascii="Cambria" w:hAnsi="Cambria"/>
      <w:b/>
      <w:bCs/>
      <w:kern w:val="0"/>
      <w:sz w:val="32"/>
      <w:szCs w:val="32"/>
    </w:rPr>
  </w:style>
  <w:style w:type="character" w:styleId="36">
    <w:name w:val="Strong"/>
    <w:basedOn w:val="35"/>
    <w:qFormat/>
    <w:locked/>
    <w:uiPriority w:val="99"/>
    <w:rPr>
      <w:rFonts w:cs="Times New Roman"/>
      <w:b/>
    </w:rPr>
  </w:style>
  <w:style w:type="character" w:styleId="37">
    <w:name w:val="page number"/>
    <w:basedOn w:val="35"/>
    <w:qFormat/>
    <w:uiPriority w:val="99"/>
    <w:rPr>
      <w:rFonts w:cs="Times New Roman"/>
    </w:rPr>
  </w:style>
  <w:style w:type="character" w:styleId="38">
    <w:name w:val="FollowedHyperlink"/>
    <w:basedOn w:val="35"/>
    <w:qFormat/>
    <w:uiPriority w:val="99"/>
    <w:rPr>
      <w:rFonts w:cs="Times New Roman"/>
      <w:color w:val="800080"/>
      <w:u w:val="single"/>
    </w:rPr>
  </w:style>
  <w:style w:type="character" w:styleId="39">
    <w:name w:val="Emphasis"/>
    <w:basedOn w:val="35"/>
    <w:qFormat/>
    <w:locked/>
    <w:uiPriority w:val="99"/>
    <w:rPr>
      <w:rFonts w:cs="Times New Roman"/>
      <w:i/>
    </w:rPr>
  </w:style>
  <w:style w:type="character" w:styleId="40">
    <w:name w:val="Hyperlink"/>
    <w:basedOn w:val="35"/>
    <w:qFormat/>
    <w:uiPriority w:val="99"/>
    <w:rPr>
      <w:rFonts w:cs="Times New Roman"/>
      <w:color w:val="0563C1"/>
      <w:u w:val="single"/>
    </w:rPr>
  </w:style>
  <w:style w:type="character" w:styleId="41">
    <w:name w:val="annotation reference"/>
    <w:basedOn w:val="35"/>
    <w:semiHidden/>
    <w:qFormat/>
    <w:uiPriority w:val="99"/>
    <w:rPr>
      <w:rFonts w:cs="Times New Roman"/>
      <w:sz w:val="21"/>
    </w:rPr>
  </w:style>
  <w:style w:type="character" w:styleId="42">
    <w:name w:val="footnote reference"/>
    <w:basedOn w:val="35"/>
    <w:qFormat/>
    <w:uiPriority w:val="99"/>
    <w:rPr>
      <w:rFonts w:cs="Times New Roman"/>
      <w:position w:val="6"/>
      <w:sz w:val="14"/>
      <w:vertAlign w:val="superscript"/>
    </w:rPr>
  </w:style>
  <w:style w:type="table" w:styleId="44">
    <w:name w:val="Table Grid"/>
    <w:basedOn w:val="43"/>
    <w:qFormat/>
    <w:locked/>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标题 1 Char"/>
    <w:basedOn w:val="35"/>
    <w:link w:val="2"/>
    <w:qFormat/>
    <w:locked/>
    <w:uiPriority w:val="99"/>
    <w:rPr>
      <w:rFonts w:cs="Times New Roman"/>
      <w:b/>
      <w:kern w:val="44"/>
      <w:sz w:val="44"/>
    </w:rPr>
  </w:style>
  <w:style w:type="character" w:customStyle="1" w:styleId="46">
    <w:name w:val="标题 2 Char"/>
    <w:basedOn w:val="35"/>
    <w:link w:val="3"/>
    <w:qFormat/>
    <w:locked/>
    <w:uiPriority w:val="99"/>
    <w:rPr>
      <w:rFonts w:ascii="Calibri Light" w:hAnsi="Calibri Light" w:eastAsia="宋体" w:cs="Times New Roman"/>
      <w:b/>
      <w:sz w:val="32"/>
    </w:rPr>
  </w:style>
  <w:style w:type="character" w:customStyle="1" w:styleId="47">
    <w:name w:val="标题 3 Char"/>
    <w:basedOn w:val="35"/>
    <w:link w:val="4"/>
    <w:semiHidden/>
    <w:qFormat/>
    <w:locked/>
    <w:uiPriority w:val="99"/>
    <w:rPr>
      <w:rFonts w:cs="Times New Roman"/>
      <w:b/>
      <w:sz w:val="32"/>
    </w:rPr>
  </w:style>
  <w:style w:type="character" w:customStyle="1" w:styleId="48">
    <w:name w:val="标题 4 Char"/>
    <w:basedOn w:val="35"/>
    <w:link w:val="5"/>
    <w:qFormat/>
    <w:locked/>
    <w:uiPriority w:val="99"/>
    <w:rPr>
      <w:rFonts w:ascii="Cambria" w:hAnsi="Cambria" w:cs="Times New Roman"/>
      <w:b/>
      <w:bCs/>
      <w:kern w:val="0"/>
      <w:sz w:val="28"/>
      <w:szCs w:val="28"/>
    </w:rPr>
  </w:style>
  <w:style w:type="character" w:customStyle="1" w:styleId="49">
    <w:name w:val="标题 5 Char"/>
    <w:basedOn w:val="35"/>
    <w:link w:val="6"/>
    <w:semiHidden/>
    <w:qFormat/>
    <w:locked/>
    <w:uiPriority w:val="99"/>
    <w:rPr>
      <w:rFonts w:cs="Times New Roman"/>
      <w:b/>
      <w:sz w:val="28"/>
    </w:rPr>
  </w:style>
  <w:style w:type="character" w:customStyle="1" w:styleId="50">
    <w:name w:val="标题 6 Char"/>
    <w:basedOn w:val="35"/>
    <w:link w:val="7"/>
    <w:semiHidden/>
    <w:qFormat/>
    <w:locked/>
    <w:uiPriority w:val="99"/>
    <w:rPr>
      <w:rFonts w:ascii="Cambria" w:hAnsi="Cambria" w:eastAsia="宋体" w:cs="Times New Roman"/>
      <w:b/>
      <w:sz w:val="24"/>
    </w:rPr>
  </w:style>
  <w:style w:type="character" w:customStyle="1" w:styleId="51">
    <w:name w:val="标题 7 Char"/>
    <w:basedOn w:val="35"/>
    <w:link w:val="8"/>
    <w:semiHidden/>
    <w:qFormat/>
    <w:locked/>
    <w:uiPriority w:val="99"/>
    <w:rPr>
      <w:rFonts w:cs="Times New Roman"/>
      <w:b/>
      <w:sz w:val="24"/>
    </w:rPr>
  </w:style>
  <w:style w:type="character" w:customStyle="1" w:styleId="52">
    <w:name w:val="标题 8 Char"/>
    <w:basedOn w:val="35"/>
    <w:link w:val="9"/>
    <w:semiHidden/>
    <w:qFormat/>
    <w:locked/>
    <w:uiPriority w:val="99"/>
    <w:rPr>
      <w:rFonts w:ascii="Cambria" w:hAnsi="Cambria" w:eastAsia="宋体" w:cs="Times New Roman"/>
      <w:sz w:val="24"/>
    </w:rPr>
  </w:style>
  <w:style w:type="character" w:customStyle="1" w:styleId="53">
    <w:name w:val="标题 9 Char"/>
    <w:basedOn w:val="35"/>
    <w:link w:val="10"/>
    <w:semiHidden/>
    <w:qFormat/>
    <w:locked/>
    <w:uiPriority w:val="99"/>
    <w:rPr>
      <w:rFonts w:ascii="Cambria" w:hAnsi="Cambria" w:eastAsia="宋体" w:cs="Times New Roman"/>
      <w:sz w:val="21"/>
    </w:rPr>
  </w:style>
  <w:style w:type="paragraph" w:styleId="54">
    <w:name w:val="List Paragraph"/>
    <w:basedOn w:val="1"/>
    <w:qFormat/>
    <w:uiPriority w:val="99"/>
    <w:pPr>
      <w:ind w:firstLine="420" w:firstLineChars="200"/>
    </w:pPr>
  </w:style>
  <w:style w:type="paragraph" w:customStyle="1" w:styleId="55">
    <w:name w:val="日期1"/>
    <w:basedOn w:val="1"/>
    <w:next w:val="1"/>
    <w:qFormat/>
    <w:uiPriority w:val="99"/>
    <w:rPr>
      <w:rFonts w:ascii="Times New Roman" w:hAnsi="Times New Roman"/>
      <w:sz w:val="28"/>
      <w:szCs w:val="20"/>
    </w:rPr>
  </w:style>
  <w:style w:type="paragraph" w:customStyle="1" w:styleId="56">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character" w:customStyle="1" w:styleId="57">
    <w:name w:val="Date Char"/>
    <w:qFormat/>
    <w:locked/>
    <w:uiPriority w:val="99"/>
    <w:rPr>
      <w:sz w:val="28"/>
    </w:rPr>
  </w:style>
  <w:style w:type="character" w:customStyle="1" w:styleId="58">
    <w:name w:val="日期 Char"/>
    <w:basedOn w:val="35"/>
    <w:link w:val="24"/>
    <w:semiHidden/>
    <w:qFormat/>
    <w:locked/>
    <w:uiPriority w:val="99"/>
    <w:rPr>
      <w:rFonts w:cs="Times New Roman"/>
    </w:rPr>
  </w:style>
  <w:style w:type="character" w:customStyle="1" w:styleId="59">
    <w:name w:val="日期 Char1"/>
    <w:semiHidden/>
    <w:qFormat/>
    <w:uiPriority w:val="99"/>
  </w:style>
  <w:style w:type="character" w:customStyle="1" w:styleId="60">
    <w:name w:val="页眉 Char"/>
    <w:basedOn w:val="35"/>
    <w:link w:val="27"/>
    <w:qFormat/>
    <w:locked/>
    <w:uiPriority w:val="99"/>
    <w:rPr>
      <w:rFonts w:cs="Times New Roman"/>
      <w:sz w:val="18"/>
    </w:rPr>
  </w:style>
  <w:style w:type="character" w:customStyle="1" w:styleId="61">
    <w:name w:val="页脚 Char"/>
    <w:basedOn w:val="35"/>
    <w:link w:val="26"/>
    <w:qFormat/>
    <w:locked/>
    <w:uiPriority w:val="99"/>
    <w:rPr>
      <w:rFonts w:cs="Times New Roman"/>
      <w:sz w:val="18"/>
    </w:rPr>
  </w:style>
  <w:style w:type="character" w:customStyle="1" w:styleId="62">
    <w:name w:val="批注框文本 Char"/>
    <w:basedOn w:val="35"/>
    <w:link w:val="25"/>
    <w:semiHidden/>
    <w:qFormat/>
    <w:locked/>
    <w:uiPriority w:val="99"/>
    <w:rPr>
      <w:rFonts w:cs="Times New Roman"/>
      <w:sz w:val="18"/>
    </w:rPr>
  </w:style>
  <w:style w:type="character" w:customStyle="1" w:styleId="63">
    <w:name w:val="v151"/>
    <w:qFormat/>
    <w:uiPriority w:val="99"/>
    <w:rPr>
      <w:sz w:val="18"/>
    </w:rPr>
  </w:style>
  <w:style w:type="character" w:customStyle="1" w:styleId="64">
    <w:name w:val="默认段落字体1"/>
    <w:qFormat/>
    <w:uiPriority w:val="99"/>
  </w:style>
  <w:style w:type="character" w:customStyle="1" w:styleId="65">
    <w:name w:val="Char Char2"/>
    <w:qFormat/>
    <w:uiPriority w:val="99"/>
    <w:rPr>
      <w:rFonts w:eastAsia="宋体"/>
      <w:kern w:val="2"/>
      <w:sz w:val="18"/>
      <w:lang w:val="en-US" w:eastAsia="zh-CN"/>
    </w:rPr>
  </w:style>
  <w:style w:type="character" w:customStyle="1" w:styleId="66">
    <w:name w:val="样式 宋体"/>
    <w:qFormat/>
    <w:uiPriority w:val="99"/>
    <w:rPr>
      <w:rFonts w:ascii="宋体" w:hAnsi="宋体" w:eastAsia="宋体"/>
      <w:sz w:val="28"/>
    </w:rPr>
  </w:style>
  <w:style w:type="character" w:customStyle="1" w:styleId="67">
    <w:name w:val="Char Char3"/>
    <w:qFormat/>
    <w:uiPriority w:val="99"/>
    <w:rPr>
      <w:rFonts w:eastAsia="宋体"/>
      <w:kern w:val="2"/>
      <w:sz w:val="18"/>
      <w:lang w:val="en-US" w:eastAsia="zh-CN"/>
    </w:rPr>
  </w:style>
  <w:style w:type="character" w:customStyle="1" w:styleId="68">
    <w:name w:val="小 Char"/>
    <w:qFormat/>
    <w:uiPriority w:val="99"/>
    <w:rPr>
      <w:rFonts w:ascii="宋体" w:hAnsi="Courier New" w:eastAsia="宋体"/>
      <w:kern w:val="2"/>
      <w:sz w:val="21"/>
      <w:lang w:val="en-US" w:eastAsia="zh-CN"/>
    </w:rPr>
  </w:style>
  <w:style w:type="character" w:customStyle="1" w:styleId="69">
    <w:name w:val="content-white1"/>
    <w:qFormat/>
    <w:uiPriority w:val="99"/>
    <w:rPr>
      <w:color w:val="auto"/>
      <w:sz w:val="18"/>
      <w:u w:val="none"/>
    </w:rPr>
  </w:style>
  <w:style w:type="character" w:customStyle="1" w:styleId="70">
    <w:name w:val="Char Char Char Char Char Char Char Char Char Char Char"/>
    <w:qFormat/>
    <w:uiPriority w:val="99"/>
    <w:rPr>
      <w:rFonts w:ascii="宋体" w:hAnsi="宋体" w:eastAsia="宋体"/>
      <w:kern w:val="2"/>
      <w:sz w:val="24"/>
      <w:lang w:val="en-US" w:eastAsia="zh-CN"/>
    </w:rPr>
  </w:style>
  <w:style w:type="character" w:customStyle="1" w:styleId="71">
    <w:name w:val="标书正文:  0.74 厘米 Char1"/>
    <w:qFormat/>
    <w:uiPriority w:val="99"/>
    <w:rPr>
      <w:rFonts w:eastAsia="宋体"/>
      <w:kern w:val="2"/>
      <w:sz w:val="24"/>
      <w:lang w:val="en-US" w:eastAsia="zh-CN"/>
    </w:rPr>
  </w:style>
  <w:style w:type="character" w:customStyle="1" w:styleId="72">
    <w:name w:val="Char Char5"/>
    <w:qFormat/>
    <w:uiPriority w:val="99"/>
    <w:rPr>
      <w:rFonts w:ascii="Arial" w:hAnsi="Arial" w:eastAsia="宋体"/>
      <w:b/>
      <w:smallCaps/>
      <w:kern w:val="28"/>
      <w:sz w:val="36"/>
      <w:lang w:val="en-US" w:eastAsia="en-US"/>
    </w:rPr>
  </w:style>
  <w:style w:type="character" w:customStyle="1" w:styleId="73">
    <w:name w:val="Default Paragraph Font New"/>
    <w:qFormat/>
    <w:uiPriority w:val="99"/>
  </w:style>
  <w:style w:type="character" w:customStyle="1" w:styleId="74">
    <w:name w:val="para1"/>
    <w:qFormat/>
    <w:uiPriority w:val="99"/>
    <w:rPr>
      <w:rFonts w:ascii="Arial" w:hAnsi="Arial"/>
      <w:sz w:val="18"/>
    </w:rPr>
  </w:style>
  <w:style w:type="character" w:customStyle="1" w:styleId="75">
    <w:name w:val="Char Char4"/>
    <w:qFormat/>
    <w:uiPriority w:val="99"/>
    <w:rPr>
      <w:rFonts w:eastAsia="宋体"/>
      <w:b/>
      <w:kern w:val="2"/>
      <w:sz w:val="21"/>
      <w:lang w:val="en-US" w:eastAsia="zh-CN"/>
    </w:rPr>
  </w:style>
  <w:style w:type="character" w:customStyle="1" w:styleId="76">
    <w:name w:val="Char Char7"/>
    <w:qFormat/>
    <w:uiPriority w:val="99"/>
    <w:rPr>
      <w:rFonts w:ascii="宋体" w:hAnsi="宋体" w:eastAsia="宋体"/>
      <w:kern w:val="2"/>
      <w:sz w:val="28"/>
    </w:rPr>
  </w:style>
  <w:style w:type="character" w:customStyle="1" w:styleId="77">
    <w:name w:val="Table Heading Char Char"/>
    <w:qFormat/>
    <w:uiPriority w:val="99"/>
    <w:rPr>
      <w:rFonts w:ascii="Arial" w:hAnsi="Arial" w:eastAsia="黑体"/>
      <w:kern w:val="2"/>
      <w:sz w:val="18"/>
      <w:lang w:val="en-US" w:eastAsia="zh-CN"/>
    </w:rPr>
  </w:style>
  <w:style w:type="character" w:customStyle="1" w:styleId="78">
    <w:name w:val="crowed11"/>
    <w:qFormat/>
    <w:uiPriority w:val="99"/>
    <w:rPr>
      <w:sz w:val="24"/>
    </w:rPr>
  </w:style>
  <w:style w:type="character" w:customStyle="1" w:styleId="79">
    <w:name w:val="纯文本 Char"/>
    <w:link w:val="80"/>
    <w:qFormat/>
    <w:locked/>
    <w:uiPriority w:val="99"/>
    <w:rPr>
      <w:rFonts w:ascii="宋体" w:hAnsi="Courier New" w:eastAsia="宋体"/>
      <w:kern w:val="2"/>
      <w:sz w:val="21"/>
      <w:lang w:val="en-US" w:eastAsia="zh-CN"/>
    </w:rPr>
  </w:style>
  <w:style w:type="paragraph" w:customStyle="1" w:styleId="80">
    <w:name w:val="纯文本1"/>
    <w:basedOn w:val="1"/>
    <w:link w:val="79"/>
    <w:qFormat/>
    <w:uiPriority w:val="99"/>
    <w:pPr>
      <w:adjustRightInd w:val="0"/>
      <w:snapToGrid w:val="0"/>
      <w:spacing w:line="360" w:lineRule="auto"/>
    </w:pPr>
    <w:rPr>
      <w:rFonts w:ascii="宋体" w:hAnsi="Courier New"/>
      <w:szCs w:val="20"/>
    </w:rPr>
  </w:style>
  <w:style w:type="character" w:customStyle="1" w:styleId="81">
    <w:name w:val="未命名11"/>
    <w:qFormat/>
    <w:uiPriority w:val="99"/>
    <w:rPr>
      <w:color w:val="77FFFF"/>
      <w:sz w:val="24"/>
    </w:rPr>
  </w:style>
  <w:style w:type="character" w:customStyle="1" w:styleId="82">
    <w:name w:val="批注引用1"/>
    <w:qFormat/>
    <w:uiPriority w:val="99"/>
    <w:rPr>
      <w:sz w:val="21"/>
    </w:rPr>
  </w:style>
  <w:style w:type="character" w:customStyle="1" w:styleId="83">
    <w:name w:val="Char Char6"/>
    <w:qFormat/>
    <w:uiPriority w:val="99"/>
    <w:rPr>
      <w:rFonts w:ascii="FangSong_GB2312" w:eastAsia="Times New Roman"/>
      <w:kern w:val="2"/>
      <w:sz w:val="32"/>
    </w:rPr>
  </w:style>
  <w:style w:type="character" w:customStyle="1" w:styleId="84">
    <w:name w:val="font1"/>
    <w:qFormat/>
    <w:uiPriority w:val="99"/>
    <w:rPr>
      <w:color w:val="000000"/>
      <w:sz w:val="18"/>
    </w:rPr>
  </w:style>
  <w:style w:type="character" w:customStyle="1" w:styleId="85">
    <w:name w:val="top-det1"/>
    <w:qFormat/>
    <w:uiPriority w:val="99"/>
    <w:rPr>
      <w:b/>
      <w:color w:val="000000"/>
    </w:rPr>
  </w:style>
  <w:style w:type="character" w:customStyle="1" w:styleId="86">
    <w:name w:val="Table Text Char Char Char Char Char Char"/>
    <w:qFormat/>
    <w:uiPriority w:val="99"/>
    <w:rPr>
      <w:rFonts w:ascii="Arial" w:hAnsi="Arial"/>
      <w:kern w:val="2"/>
      <w:sz w:val="18"/>
      <w:lang w:val="en-US" w:eastAsia="zh-CN"/>
    </w:rPr>
  </w:style>
  <w:style w:type="character" w:customStyle="1" w:styleId="87">
    <w:name w:val="Table Text Char1 Char Char"/>
    <w:qFormat/>
    <w:uiPriority w:val="99"/>
    <w:rPr>
      <w:rFonts w:ascii="Arial" w:hAnsi="Arial"/>
      <w:kern w:val="2"/>
      <w:sz w:val="18"/>
      <w:lang w:val="en-US" w:eastAsia="zh-CN"/>
    </w:rPr>
  </w:style>
  <w:style w:type="character" w:customStyle="1" w:styleId="88">
    <w:name w:val="正文 + 三号 Char Char"/>
    <w:qFormat/>
    <w:uiPriority w:val="99"/>
    <w:rPr>
      <w:rFonts w:eastAsia="宋体"/>
      <w:kern w:val="2"/>
      <w:sz w:val="21"/>
      <w:lang w:val="en-US" w:eastAsia="zh-CN"/>
    </w:rPr>
  </w:style>
  <w:style w:type="character" w:customStyle="1" w:styleId="89">
    <w:name w:val="Table Text Char Char Char Char Char Char Char"/>
    <w:qFormat/>
    <w:uiPriority w:val="99"/>
    <w:rPr>
      <w:rFonts w:ascii="Arial" w:hAnsi="Arial"/>
      <w:kern w:val="2"/>
      <w:sz w:val="18"/>
      <w:lang w:val="en-US" w:eastAsia="zh-CN"/>
    </w:rPr>
  </w:style>
  <w:style w:type="character" w:customStyle="1" w:styleId="90">
    <w:name w:val="Default Paragraph Font New New"/>
    <w:qFormat/>
    <w:uiPriority w:val="99"/>
  </w:style>
  <w:style w:type="character" w:customStyle="1" w:styleId="91">
    <w:name w:val="页码1"/>
    <w:qFormat/>
    <w:uiPriority w:val="99"/>
  </w:style>
  <w:style w:type="paragraph" w:customStyle="1" w:styleId="92">
    <w:name w:val="样式 首行缩进:  0.74 厘米"/>
    <w:basedOn w:val="1"/>
    <w:qFormat/>
    <w:uiPriority w:val="99"/>
    <w:pPr>
      <w:spacing w:line="360" w:lineRule="auto"/>
      <w:ind w:firstLine="420"/>
    </w:pPr>
    <w:rPr>
      <w:rFonts w:ascii="Times New Roman" w:hAnsi="Times New Roman"/>
      <w:sz w:val="24"/>
      <w:szCs w:val="20"/>
    </w:rPr>
  </w:style>
  <w:style w:type="paragraph" w:customStyle="1" w:styleId="93">
    <w:name w:val="二级列表"/>
    <w:basedOn w:val="94"/>
    <w:next w:val="94"/>
    <w:qFormat/>
    <w:uiPriority w:val="99"/>
    <w:pPr>
      <w:tabs>
        <w:tab w:val="left" w:pos="2120"/>
      </w:tabs>
      <w:ind w:firstLine="0" w:firstLineChars="0"/>
    </w:pPr>
    <w:rPr>
      <w:b/>
    </w:rPr>
  </w:style>
  <w:style w:type="paragraph" w:customStyle="1" w:styleId="94">
    <w:name w:val="段落正文"/>
    <w:basedOn w:val="1"/>
    <w:uiPriority w:val="99"/>
    <w:pPr>
      <w:spacing w:beforeLines="50" w:line="360" w:lineRule="auto"/>
      <w:ind w:firstLine="200" w:firstLineChars="200"/>
    </w:pPr>
    <w:rPr>
      <w:rFonts w:ascii="Times New Roman" w:hAnsi="Times New Roman"/>
      <w:spacing w:val="2"/>
      <w:sz w:val="24"/>
      <w:szCs w:val="20"/>
    </w:rPr>
  </w:style>
  <w:style w:type="paragraph" w:customStyle="1" w:styleId="95">
    <w:name w:val="列表 31"/>
    <w:basedOn w:val="1"/>
    <w:qFormat/>
    <w:uiPriority w:val="99"/>
    <w:pPr>
      <w:adjustRightInd w:val="0"/>
      <w:snapToGrid w:val="0"/>
      <w:spacing w:line="360" w:lineRule="auto"/>
      <w:ind w:left="100" w:leftChars="400" w:hanging="200" w:hangingChars="200"/>
    </w:pPr>
    <w:rPr>
      <w:rFonts w:ascii="Times New Roman" w:hAnsi="Times New Roman"/>
      <w:sz w:val="24"/>
      <w:szCs w:val="20"/>
    </w:rPr>
  </w:style>
  <w:style w:type="paragraph" w:customStyle="1" w:styleId="96">
    <w:name w:val="表文字"/>
    <w:qFormat/>
    <w:uiPriority w:val="99"/>
    <w:rPr>
      <w:rFonts w:ascii="宋体" w:hAnsi="Times New Roman" w:eastAsia="宋体" w:cs="Times New Roman"/>
      <w:kern w:val="2"/>
      <w:lang w:val="en-US" w:eastAsia="zh-CN" w:bidi="ar-SA"/>
    </w:rPr>
  </w:style>
  <w:style w:type="paragraph" w:customStyle="1" w:styleId="9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简单回函地址"/>
    <w:basedOn w:val="1"/>
    <w:qFormat/>
    <w:uiPriority w:val="99"/>
    <w:pPr>
      <w:adjustRightInd w:val="0"/>
      <w:snapToGrid w:val="0"/>
      <w:spacing w:line="360" w:lineRule="auto"/>
    </w:pPr>
    <w:rPr>
      <w:rFonts w:ascii="Times New Roman" w:hAnsi="Times New Roman"/>
      <w:sz w:val="24"/>
      <w:szCs w:val="20"/>
    </w:rPr>
  </w:style>
  <w:style w:type="character" w:customStyle="1" w:styleId="99">
    <w:name w:val="标题 Char"/>
    <w:basedOn w:val="35"/>
    <w:link w:val="34"/>
    <w:qFormat/>
    <w:locked/>
    <w:uiPriority w:val="99"/>
    <w:rPr>
      <w:rFonts w:ascii="Cambria" w:hAnsi="Cambria" w:cs="Times New Roman"/>
      <w:b/>
      <w:sz w:val="32"/>
    </w:rPr>
  </w:style>
  <w:style w:type="paragraph" w:customStyle="1" w:styleId="100">
    <w:name w:val="CSS1级正文 Char"/>
    <w:basedOn w:val="17"/>
    <w:qFormat/>
    <w:uiPriority w:val="99"/>
    <w:pPr>
      <w:adjustRightInd w:val="0"/>
      <w:snapToGrid w:val="0"/>
      <w:spacing w:line="360" w:lineRule="auto"/>
      <w:ind w:firstLine="480"/>
    </w:pPr>
    <w:rPr>
      <w:rFonts w:ascii="Times New Roman" w:eastAsia="宋体"/>
      <w:sz w:val="24"/>
    </w:rPr>
  </w:style>
  <w:style w:type="paragraph" w:customStyle="1" w:styleId="101">
    <w:name w:val="标题2"/>
    <w:basedOn w:val="3"/>
    <w:qFormat/>
    <w:uiPriority w:val="99"/>
    <w:pPr>
      <w:keepNext w:val="0"/>
      <w:adjustRightInd w:val="0"/>
      <w:spacing w:before="0" w:after="0" w:line="360" w:lineRule="auto"/>
      <w:ind w:firstLine="574" w:firstLineChars="196"/>
      <w:outlineLvl w:val="9"/>
    </w:pPr>
    <w:rPr>
      <w:rFonts w:ascii="宋体" w:hAnsi="宋体"/>
      <w:bCs w:val="0"/>
      <w:spacing w:val="6"/>
      <w:sz w:val="28"/>
      <w:szCs w:val="20"/>
      <w:u w:val="single"/>
    </w:rPr>
  </w:style>
  <w:style w:type="character" w:customStyle="1" w:styleId="102">
    <w:name w:val="Comment Text Char"/>
    <w:basedOn w:val="35"/>
    <w:link w:val="12"/>
    <w:semiHidden/>
    <w:qFormat/>
    <w:locked/>
    <w:uiPriority w:val="99"/>
    <w:rPr>
      <w:rFonts w:cs="Times New Roman"/>
    </w:rPr>
  </w:style>
  <w:style w:type="character" w:customStyle="1" w:styleId="103">
    <w:name w:val="正文文本 Char"/>
    <w:basedOn w:val="35"/>
    <w:link w:val="17"/>
    <w:semiHidden/>
    <w:qFormat/>
    <w:locked/>
    <w:uiPriority w:val="99"/>
    <w:rPr>
      <w:rFonts w:cs="Times New Roman"/>
    </w:rPr>
  </w:style>
  <w:style w:type="character" w:customStyle="1" w:styleId="104">
    <w:name w:val="脚注文本 Char"/>
    <w:basedOn w:val="35"/>
    <w:link w:val="30"/>
    <w:semiHidden/>
    <w:qFormat/>
    <w:locked/>
    <w:uiPriority w:val="99"/>
    <w:rPr>
      <w:rFonts w:cs="Times New Roman"/>
      <w:sz w:val="18"/>
    </w:rPr>
  </w:style>
  <w:style w:type="paragraph" w:customStyle="1" w:styleId="105">
    <w:name w:val="列表编号 31"/>
    <w:basedOn w:val="1"/>
    <w:qFormat/>
    <w:uiPriority w:val="99"/>
    <w:pPr>
      <w:tabs>
        <w:tab w:val="left" w:pos="2120"/>
      </w:tabs>
      <w:adjustRightInd w:val="0"/>
      <w:snapToGrid w:val="0"/>
      <w:spacing w:line="360" w:lineRule="auto"/>
      <w:ind w:left="2120" w:hanging="720"/>
    </w:pPr>
    <w:rPr>
      <w:rFonts w:ascii="Times New Roman" w:hAnsi="Times New Roman"/>
      <w:sz w:val="24"/>
      <w:szCs w:val="20"/>
    </w:rPr>
  </w:style>
  <w:style w:type="paragraph" w:customStyle="1" w:styleId="106">
    <w:name w:val="正文首行缩进1"/>
    <w:basedOn w:val="1"/>
    <w:qFormat/>
    <w:uiPriority w:val="99"/>
    <w:pPr>
      <w:spacing w:line="360" w:lineRule="auto"/>
      <w:ind w:firstLine="420"/>
    </w:pPr>
    <w:rPr>
      <w:rFonts w:ascii="宋体" w:hAnsi="宋体"/>
      <w:sz w:val="24"/>
      <w:szCs w:val="20"/>
    </w:rPr>
  </w:style>
  <w:style w:type="paragraph" w:customStyle="1" w:styleId="107">
    <w:name w:val="默认段落字体 Para Char Char Char Char Char Char Char Char Char1 Char Char Char Char"/>
    <w:basedOn w:val="1"/>
    <w:qFormat/>
    <w:uiPriority w:val="99"/>
    <w:rPr>
      <w:rFonts w:ascii="Tahoma" w:hAnsi="Tahoma"/>
      <w:sz w:val="24"/>
      <w:szCs w:val="20"/>
    </w:rPr>
  </w:style>
  <w:style w:type="paragraph" w:customStyle="1" w:styleId="108">
    <w:name w:val="样式1xz"/>
    <w:basedOn w:val="1"/>
    <w:qFormat/>
    <w:uiPriority w:val="99"/>
    <w:pPr>
      <w:tabs>
        <w:tab w:val="left" w:pos="1050"/>
        <w:tab w:val="right" w:leader="dot" w:pos="8296"/>
      </w:tabs>
    </w:pPr>
    <w:rPr>
      <w:rFonts w:ascii="Times New Roman" w:hAnsi="Times New Roman"/>
      <w:caps/>
      <w:spacing w:val="20"/>
      <w:sz w:val="24"/>
      <w:szCs w:val="20"/>
    </w:rPr>
  </w:style>
  <w:style w:type="paragraph" w:customStyle="1" w:styleId="109">
    <w:name w:val="正文文本 31"/>
    <w:basedOn w:val="1"/>
    <w:qFormat/>
    <w:uiPriority w:val="99"/>
    <w:pPr>
      <w:adjustRightInd w:val="0"/>
      <w:snapToGrid w:val="0"/>
      <w:spacing w:after="120" w:line="360" w:lineRule="auto"/>
    </w:pPr>
    <w:rPr>
      <w:rFonts w:ascii="Times New Roman" w:hAnsi="Times New Roman"/>
      <w:sz w:val="16"/>
      <w:szCs w:val="20"/>
    </w:rPr>
  </w:style>
  <w:style w:type="paragraph" w:customStyle="1" w:styleId="110">
    <w:name w:val="Char2"/>
    <w:basedOn w:val="1"/>
    <w:qFormat/>
    <w:uiPriority w:val="99"/>
    <w:pPr>
      <w:widowControl/>
      <w:spacing w:line="400" w:lineRule="exact"/>
      <w:jc w:val="center"/>
    </w:pPr>
    <w:rPr>
      <w:rFonts w:ascii="Times New Roman" w:hAnsi="Times New Roman"/>
      <w:sz w:val="24"/>
      <w:szCs w:val="20"/>
    </w:rPr>
  </w:style>
  <w:style w:type="paragraph" w:customStyle="1" w:styleId="111">
    <w:name w:val="文本框样式1"/>
    <w:basedOn w:val="1"/>
    <w:qFormat/>
    <w:uiPriority w:val="99"/>
    <w:pPr>
      <w:adjustRightInd w:val="0"/>
      <w:snapToGrid w:val="0"/>
      <w:spacing w:before="60" w:line="180" w:lineRule="exact"/>
      <w:jc w:val="center"/>
    </w:pPr>
    <w:rPr>
      <w:rFonts w:ascii="Times New Roman" w:hAnsi="Times New Roman"/>
      <w:szCs w:val="20"/>
    </w:rPr>
  </w:style>
  <w:style w:type="paragraph" w:customStyle="1" w:styleId="112">
    <w:name w:val="正文1"/>
    <w:basedOn w:val="1"/>
    <w:qFormat/>
    <w:uiPriority w:val="99"/>
    <w:pPr>
      <w:spacing w:line="300" w:lineRule="auto"/>
      <w:ind w:firstLine="200" w:firstLineChars="200"/>
    </w:pPr>
    <w:rPr>
      <w:rFonts w:ascii="Times New Roman" w:hAnsi="Times New Roman"/>
      <w:sz w:val="24"/>
      <w:szCs w:val="20"/>
    </w:rPr>
  </w:style>
  <w:style w:type="paragraph" w:customStyle="1" w:styleId="113">
    <w:name w:val="样式 样式 首行缩进:  2 字符 + 首行缩进:  2 字符"/>
    <w:basedOn w:val="1"/>
    <w:qFormat/>
    <w:uiPriority w:val="99"/>
    <w:pPr>
      <w:numPr>
        <w:ilvl w:val="0"/>
        <w:numId w:val="2"/>
      </w:numPr>
      <w:tabs>
        <w:tab w:val="left" w:pos="1230"/>
        <w:tab w:val="clear" w:pos="780"/>
      </w:tabs>
      <w:spacing w:line="360" w:lineRule="auto"/>
      <w:ind w:left="0" w:firstLine="480" w:firstLineChars="200"/>
    </w:pPr>
    <w:rPr>
      <w:rFonts w:ascii="Times New Roman" w:hAnsi="Times New Roman"/>
      <w:sz w:val="24"/>
      <w:szCs w:val="20"/>
    </w:rPr>
  </w:style>
  <w:style w:type="paragraph" w:customStyle="1" w:styleId="114">
    <w:name w:val="缺省文本"/>
    <w:basedOn w:val="1"/>
    <w:qFormat/>
    <w:uiPriority w:val="99"/>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15">
    <w:name w:val="正文文本缩进 21"/>
    <w:basedOn w:val="1"/>
    <w:qFormat/>
    <w:uiPriority w:val="99"/>
    <w:pPr>
      <w:adjustRightInd w:val="0"/>
      <w:spacing w:before="120"/>
      <w:ind w:firstLine="420"/>
      <w:textAlignment w:val="baseline"/>
    </w:pPr>
    <w:rPr>
      <w:rFonts w:ascii="Times New Roman" w:hAnsi="Times New Roman"/>
      <w:sz w:val="24"/>
      <w:szCs w:val="20"/>
    </w:rPr>
  </w:style>
  <w:style w:type="paragraph" w:customStyle="1" w:styleId="116">
    <w:name w:val="Item Step in Table"/>
    <w:qFormat/>
    <w:uiPriority w:val="99"/>
    <w:pPr>
      <w:numPr>
        <w:ilvl w:val="0"/>
        <w:numId w:val="3"/>
      </w:numPr>
      <w:tabs>
        <w:tab w:val="left" w:pos="397"/>
        <w:tab w:val="clear" w:pos="1620"/>
      </w:tabs>
      <w:spacing w:before="40" w:after="40"/>
      <w:ind w:left="397" w:hanging="397"/>
      <w:jc w:val="both"/>
    </w:pPr>
    <w:rPr>
      <w:rFonts w:ascii="Arial" w:hAnsi="Arial" w:eastAsia="宋体" w:cs="Times New Roman"/>
      <w:sz w:val="18"/>
      <w:lang w:val="en-US" w:eastAsia="zh-CN" w:bidi="ar-SA"/>
    </w:rPr>
  </w:style>
  <w:style w:type="paragraph" w:customStyle="1" w:styleId="117">
    <w:name w:val="列表接续 21"/>
    <w:basedOn w:val="1"/>
    <w:qFormat/>
    <w:uiPriority w:val="99"/>
    <w:pPr>
      <w:adjustRightInd w:val="0"/>
      <w:snapToGrid w:val="0"/>
      <w:spacing w:after="120" w:line="360" w:lineRule="auto"/>
      <w:ind w:left="840" w:leftChars="400"/>
    </w:pPr>
    <w:rPr>
      <w:rFonts w:ascii="Times New Roman" w:hAnsi="Times New Roman"/>
      <w:sz w:val="24"/>
      <w:szCs w:val="20"/>
    </w:rPr>
  </w:style>
  <w:style w:type="paragraph" w:customStyle="1" w:styleId="118">
    <w:name w:val="正文（首行不缩进）"/>
    <w:basedOn w:val="1"/>
    <w:qFormat/>
    <w:uiPriority w:val="99"/>
    <w:pPr>
      <w:autoSpaceDE w:val="0"/>
      <w:autoSpaceDN w:val="0"/>
      <w:adjustRightInd w:val="0"/>
      <w:spacing w:line="360" w:lineRule="auto"/>
      <w:jc w:val="left"/>
    </w:pPr>
    <w:rPr>
      <w:rFonts w:ascii="Times New Roman" w:hAnsi="Times New Roman"/>
      <w:kern w:val="0"/>
      <w:szCs w:val="20"/>
    </w:rPr>
  </w:style>
  <w:style w:type="paragraph" w:customStyle="1" w:styleId="119">
    <w:name w:val="修订1"/>
    <w:qFormat/>
    <w:uiPriority w:val="99"/>
    <w:rPr>
      <w:rFonts w:ascii="Times New Roman" w:hAnsi="Times New Roman" w:eastAsia="宋体" w:cs="Times New Roman"/>
      <w:kern w:val="2"/>
      <w:sz w:val="21"/>
      <w:lang w:val="en-US" w:eastAsia="zh-CN" w:bidi="ar-SA"/>
    </w:rPr>
  </w:style>
  <w:style w:type="paragraph" w:customStyle="1" w:styleId="120">
    <w:name w:val="项目"/>
    <w:basedOn w:val="1"/>
    <w:qFormat/>
    <w:uiPriority w:val="99"/>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121">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22">
    <w:name w:val="图片文字"/>
    <w:basedOn w:val="1"/>
    <w:qFormat/>
    <w:uiPriority w:val="99"/>
    <w:pPr>
      <w:spacing w:line="240" w:lineRule="atLeast"/>
      <w:jc w:val="center"/>
    </w:pPr>
    <w:rPr>
      <w:rFonts w:ascii="Times New Roman" w:hAnsi="Times New Roman"/>
      <w:szCs w:val="20"/>
    </w:rPr>
  </w:style>
  <w:style w:type="paragraph" w:customStyle="1" w:styleId="123">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124">
    <w:name w:val="Table Contents"/>
    <w:basedOn w:val="17"/>
    <w:qFormat/>
    <w:uiPriority w:val="99"/>
    <w:pPr>
      <w:suppressAutoHyphens/>
      <w:jc w:val="left"/>
    </w:pPr>
    <w:rPr>
      <w:rFonts w:ascii="Times New Roman" w:eastAsia="宋体"/>
      <w:kern w:val="0"/>
      <w:sz w:val="24"/>
    </w:rPr>
  </w:style>
  <w:style w:type="paragraph" w:customStyle="1" w:styleId="125">
    <w:name w:val="文本1"/>
    <w:basedOn w:val="1"/>
    <w:qFormat/>
    <w:uiPriority w:val="99"/>
    <w:pPr>
      <w:adjustRightInd w:val="0"/>
      <w:spacing w:line="312" w:lineRule="atLeast"/>
      <w:jc w:val="center"/>
      <w:textAlignment w:val="baseline"/>
    </w:pPr>
    <w:rPr>
      <w:rFonts w:ascii="Times New Roman" w:hAnsi="Times New Roman"/>
      <w:kern w:val="0"/>
      <w:sz w:val="18"/>
      <w:szCs w:val="20"/>
    </w:rPr>
  </w:style>
  <w:style w:type="paragraph" w:customStyle="1" w:styleId="126">
    <w:name w:val="默认段落字体 Para Char"/>
    <w:basedOn w:val="1"/>
    <w:qFormat/>
    <w:uiPriority w:val="99"/>
    <w:rPr>
      <w:rFonts w:ascii="Times New Roman" w:hAnsi="Times New Roman"/>
      <w:sz w:val="28"/>
      <w:szCs w:val="20"/>
    </w:rPr>
  </w:style>
  <w:style w:type="paragraph" w:customStyle="1" w:styleId="127">
    <w:name w:val="样式 正文缩进正文（首行缩进两字）表正文正文非缩进特点标题4段1 + 首行缩进:  2 字符"/>
    <w:basedOn w:val="128"/>
    <w:qFormat/>
    <w:uiPriority w:val="99"/>
    <w:pPr>
      <w:ind w:firstLine="480" w:firstLineChars="200"/>
    </w:pPr>
  </w:style>
  <w:style w:type="paragraph" w:customStyle="1" w:styleId="128">
    <w:name w:val="正文缩进1"/>
    <w:basedOn w:val="1"/>
    <w:qFormat/>
    <w:uiPriority w:val="99"/>
    <w:pPr>
      <w:adjustRightInd w:val="0"/>
      <w:snapToGrid w:val="0"/>
      <w:spacing w:line="360" w:lineRule="auto"/>
      <w:ind w:firstLine="420"/>
    </w:pPr>
    <w:rPr>
      <w:rFonts w:ascii="Times New Roman" w:hAnsi="Times New Roman"/>
      <w:sz w:val="24"/>
      <w:szCs w:val="20"/>
    </w:rPr>
  </w:style>
  <w:style w:type="paragraph" w:customStyle="1" w:styleId="129">
    <w:name w:val="样式2"/>
    <w:basedOn w:val="5"/>
    <w:qFormat/>
    <w:uiPriority w:val="99"/>
    <w:pPr>
      <w:numPr>
        <w:ilvl w:val="0"/>
        <w:numId w:val="4"/>
      </w:numPr>
      <w:tabs>
        <w:tab w:val="clear" w:pos="1200"/>
      </w:tabs>
      <w:spacing w:line="400" w:lineRule="exact"/>
      <w:ind w:left="420" w:hanging="420"/>
      <w:jc w:val="center"/>
      <w:outlineLvl w:val="0"/>
    </w:pPr>
    <w:rPr>
      <w:b w:val="0"/>
      <w:sz w:val="44"/>
    </w:rPr>
  </w:style>
  <w:style w:type="paragraph" w:customStyle="1" w:styleId="130">
    <w:name w:val="标书正文:  0.74 厘米"/>
    <w:basedOn w:val="1"/>
    <w:qFormat/>
    <w:uiPriority w:val="99"/>
    <w:pPr>
      <w:snapToGrid w:val="0"/>
      <w:spacing w:line="360" w:lineRule="auto"/>
      <w:ind w:firstLine="420"/>
    </w:pPr>
    <w:rPr>
      <w:rFonts w:ascii="Times New Roman" w:hAnsi="Times New Roman"/>
      <w:sz w:val="24"/>
      <w:szCs w:val="20"/>
    </w:rPr>
  </w:style>
  <w:style w:type="paragraph" w:customStyle="1" w:styleId="131">
    <w:name w:val="Char Char Char Char Char Char Char Char Char Char Char Char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132">
    <w:name w:val="样式 宋体 五号 行距: 单倍行距"/>
    <w:basedOn w:val="1"/>
    <w:qFormat/>
    <w:uiPriority w:val="99"/>
    <w:pPr>
      <w:adjustRightInd w:val="0"/>
      <w:jc w:val="left"/>
    </w:pPr>
    <w:rPr>
      <w:rFonts w:ascii="宋体" w:hAnsi="宋体"/>
      <w:kern w:val="0"/>
      <w:szCs w:val="20"/>
    </w:rPr>
  </w:style>
  <w:style w:type="paragraph" w:customStyle="1" w:styleId="133">
    <w:name w:val="Char"/>
    <w:basedOn w:val="1"/>
    <w:qFormat/>
    <w:uiPriority w:val="99"/>
    <w:pPr>
      <w:spacing w:line="240" w:lineRule="atLeast"/>
      <w:ind w:left="420" w:firstLine="420"/>
    </w:pPr>
    <w:rPr>
      <w:rFonts w:ascii="Times New Roman" w:hAnsi="Times New Roman"/>
      <w:kern w:val="0"/>
      <w:szCs w:val="20"/>
    </w:rPr>
  </w:style>
  <w:style w:type="paragraph" w:customStyle="1" w:styleId="134">
    <w:name w:val="章标题"/>
    <w:next w:val="1"/>
    <w:qFormat/>
    <w:uiPriority w:val="99"/>
    <w:pPr>
      <w:numPr>
        <w:ilvl w:val="1"/>
        <w:numId w:val="5"/>
      </w:numPr>
      <w:tabs>
        <w:tab w:val="clear" w:pos="840"/>
      </w:tabs>
      <w:spacing w:beforeLines="50" w:afterLines="50"/>
      <w:ind w:left="0" w:firstLine="0"/>
      <w:jc w:val="both"/>
      <w:outlineLvl w:val="1"/>
    </w:pPr>
    <w:rPr>
      <w:rFonts w:ascii="黑体" w:hAnsi="Times New Roman" w:eastAsia="黑体" w:cs="Times New Roman"/>
      <w:sz w:val="24"/>
      <w:lang w:val="en-US" w:eastAsia="zh-CN" w:bidi="ar-SA"/>
    </w:rPr>
  </w:style>
  <w:style w:type="paragraph" w:customStyle="1" w:styleId="135">
    <w:name w:val="图例"/>
    <w:basedOn w:val="1"/>
    <w:qFormat/>
    <w:uiPriority w:val="99"/>
    <w:pPr>
      <w:spacing w:before="120" w:after="120" w:line="360" w:lineRule="auto"/>
      <w:jc w:val="center"/>
    </w:pPr>
    <w:rPr>
      <w:rFonts w:ascii="Times New Roman" w:hAnsi="Times New Roman"/>
      <w:b/>
      <w:sz w:val="24"/>
      <w:szCs w:val="20"/>
    </w:rPr>
  </w:style>
  <w:style w:type="paragraph" w:customStyle="1" w:styleId="136">
    <w:name w:val="文档正文"/>
    <w:basedOn w:val="1"/>
    <w:qFormat/>
    <w:uiPriority w:val="99"/>
    <w:pPr>
      <w:adjustRightInd w:val="0"/>
      <w:snapToGrid w:val="0"/>
      <w:spacing w:line="440" w:lineRule="exact"/>
      <w:ind w:firstLine="567"/>
      <w:textAlignment w:val="baseline"/>
    </w:pPr>
    <w:rPr>
      <w:rFonts w:ascii="Arial Narrow" w:hAnsi="Arial Narrow"/>
      <w:kern w:val="0"/>
      <w:sz w:val="24"/>
      <w:szCs w:val="20"/>
    </w:rPr>
  </w:style>
  <w:style w:type="paragraph" w:customStyle="1" w:styleId="137">
    <w:name w:val="bt"/>
    <w:basedOn w:val="1"/>
    <w:next w:val="17"/>
    <w:qFormat/>
    <w:uiPriority w:val="99"/>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138">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139">
    <w:name w:val="正文文本 21"/>
    <w:basedOn w:val="1"/>
    <w:qFormat/>
    <w:uiPriority w:val="99"/>
    <w:pPr>
      <w:adjustRightInd w:val="0"/>
      <w:spacing w:before="120" w:line="360" w:lineRule="auto"/>
      <w:ind w:firstLine="480"/>
      <w:textAlignment w:val="baseline"/>
    </w:pPr>
    <w:rPr>
      <w:rFonts w:ascii="Times New Roman" w:hAnsi="Times New Roman"/>
      <w:sz w:val="24"/>
      <w:szCs w:val="20"/>
    </w:rPr>
  </w:style>
  <w:style w:type="paragraph" w:customStyle="1" w:styleId="140">
    <w:name w:val="Char Char Char Char Char"/>
    <w:basedOn w:val="1"/>
    <w:qFormat/>
    <w:uiPriority w:val="99"/>
    <w:pPr>
      <w:numPr>
        <w:ilvl w:val="0"/>
        <w:numId w:val="6"/>
      </w:numPr>
      <w:tabs>
        <w:tab w:val="left" w:pos="425"/>
        <w:tab w:val="clear" w:pos="397"/>
      </w:tabs>
      <w:ind w:left="425" w:hanging="425"/>
    </w:pPr>
    <w:rPr>
      <w:rFonts w:ascii="Tahoma" w:hAnsi="Tahoma"/>
      <w:sz w:val="24"/>
      <w:szCs w:val="20"/>
    </w:rPr>
  </w:style>
  <w:style w:type="paragraph" w:customStyle="1" w:styleId="141">
    <w:name w:val="默认段落字体 Para Char Char Char Char Char Char Char"/>
    <w:basedOn w:val="1"/>
    <w:qFormat/>
    <w:uiPriority w:val="99"/>
    <w:rPr>
      <w:rFonts w:ascii="Tahoma" w:hAnsi="Tahoma"/>
      <w:sz w:val="24"/>
      <w:szCs w:val="20"/>
    </w:rPr>
  </w:style>
  <w:style w:type="paragraph" w:customStyle="1" w:styleId="142">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143">
    <w:name w:val="标题3——2"/>
    <w:basedOn w:val="4"/>
    <w:next w:val="106"/>
    <w:qFormat/>
    <w:uiPriority w:val="99"/>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44">
    <w:name w:val="样式 标题 1章标题Heading 0Section HeadPIM 1H1h11st levell11H1..."/>
    <w:basedOn w:val="2"/>
    <w:qFormat/>
    <w:uiPriority w:val="99"/>
    <w:pPr>
      <w:pageBreakBefore/>
      <w:tabs>
        <w:tab w:val="left" w:pos="432"/>
      </w:tabs>
      <w:autoSpaceDE w:val="0"/>
      <w:autoSpaceDN w:val="0"/>
      <w:adjustRightInd w:val="0"/>
      <w:snapToGrid w:val="0"/>
      <w:spacing w:beforeLines="100" w:afterLines="50" w:line="578" w:lineRule="atLeast"/>
      <w:textAlignment w:val="bottom"/>
    </w:pPr>
    <w:rPr>
      <w:rFonts w:ascii="宋体" w:hAnsi="宋体" w:eastAsia="黑体"/>
      <w:bCs w:val="0"/>
      <w:sz w:val="36"/>
      <w:szCs w:val="20"/>
    </w:rPr>
  </w:style>
  <w:style w:type="paragraph" w:customStyle="1" w:styleId="145">
    <w:name w:val="附录1"/>
    <w:basedOn w:val="1"/>
    <w:next w:val="1"/>
    <w:qFormat/>
    <w:uiPriority w:val="99"/>
    <w:pPr>
      <w:tabs>
        <w:tab w:val="left" w:pos="1304"/>
      </w:tabs>
      <w:ind w:left="425" w:hanging="425"/>
      <w:outlineLvl w:val="0"/>
    </w:pPr>
    <w:rPr>
      <w:rFonts w:ascii="黑体" w:hAnsi="黑体" w:eastAsia="黑体"/>
      <w:b/>
      <w:sz w:val="44"/>
      <w:szCs w:val="20"/>
    </w:rPr>
  </w:style>
  <w:style w:type="paragraph" w:customStyle="1" w:styleId="146">
    <w:name w:val="Char Char 字元 字元 字元 Char Char Char Char"/>
    <w:basedOn w:val="1"/>
    <w:qFormat/>
    <w:uiPriority w:val="99"/>
    <w:pPr>
      <w:adjustRightInd w:val="0"/>
      <w:spacing w:line="360" w:lineRule="auto"/>
    </w:pPr>
    <w:rPr>
      <w:rFonts w:ascii="Times New Roman" w:hAnsi="Times New Roman"/>
      <w:kern w:val="0"/>
      <w:sz w:val="24"/>
      <w:szCs w:val="20"/>
    </w:rPr>
  </w:style>
  <w:style w:type="paragraph" w:customStyle="1" w:styleId="147">
    <w:name w:val="列表 21"/>
    <w:basedOn w:val="1"/>
    <w:qFormat/>
    <w:uiPriority w:val="99"/>
    <w:pPr>
      <w:adjustRightInd w:val="0"/>
      <w:snapToGrid w:val="0"/>
      <w:spacing w:line="360" w:lineRule="auto"/>
      <w:ind w:left="100" w:leftChars="200" w:hanging="200" w:hangingChars="200"/>
    </w:pPr>
    <w:rPr>
      <w:rFonts w:ascii="Times New Roman" w:hAnsi="Times New Roman"/>
      <w:sz w:val="24"/>
      <w:szCs w:val="20"/>
    </w:rPr>
  </w:style>
  <w:style w:type="paragraph" w:customStyle="1" w:styleId="148">
    <w:name w:val="正文字缩2字"/>
    <w:basedOn w:val="1"/>
    <w:qFormat/>
    <w:uiPriority w:val="99"/>
    <w:pPr>
      <w:spacing w:before="60" w:after="60" w:line="360" w:lineRule="auto"/>
      <w:ind w:left="200" w:leftChars="200" w:firstLine="200" w:firstLineChars="200"/>
    </w:pPr>
    <w:rPr>
      <w:rFonts w:ascii="Times New Roman" w:hAnsi="Times New Roman"/>
      <w:sz w:val="24"/>
      <w:szCs w:val="20"/>
    </w:rPr>
  </w:style>
  <w:style w:type="paragraph" w:customStyle="1" w:styleId="149">
    <w:name w:val="style1"/>
    <w:basedOn w:val="1"/>
    <w:qFormat/>
    <w:uiPriority w:val="99"/>
    <w:pPr>
      <w:widowControl/>
      <w:spacing w:before="100" w:beforeAutospacing="1" w:after="100" w:afterAutospacing="1"/>
      <w:jc w:val="left"/>
    </w:pPr>
    <w:rPr>
      <w:rFonts w:ascii="宋体" w:hAnsi="宋体"/>
      <w:kern w:val="0"/>
      <w:szCs w:val="20"/>
    </w:rPr>
  </w:style>
  <w:style w:type="paragraph" w:customStyle="1" w:styleId="150">
    <w:name w:val="引文目录标题1"/>
    <w:basedOn w:val="1"/>
    <w:next w:val="1"/>
    <w:qFormat/>
    <w:uiPriority w:val="99"/>
    <w:pPr>
      <w:spacing w:before="120"/>
    </w:pPr>
    <w:rPr>
      <w:rFonts w:ascii="Arial" w:hAnsi="Arial"/>
      <w:sz w:val="24"/>
      <w:szCs w:val="20"/>
    </w:rPr>
  </w:style>
  <w:style w:type="paragraph" w:customStyle="1" w:styleId="151">
    <w:name w:val="首行缩进 1"/>
    <w:basedOn w:val="1"/>
    <w:qFormat/>
    <w:uiPriority w:val="99"/>
    <w:pPr>
      <w:spacing w:after="120" w:line="360" w:lineRule="auto"/>
      <w:ind w:firstLine="200" w:firstLineChars="200"/>
    </w:pPr>
    <w:rPr>
      <w:rFonts w:ascii="Times New Roman" w:hAnsi="Times New Roman"/>
      <w:sz w:val="24"/>
      <w:szCs w:val="20"/>
    </w:rPr>
  </w:style>
  <w:style w:type="paragraph" w:customStyle="1" w:styleId="152">
    <w:name w:val="Table Text"/>
    <w:qFormat/>
    <w:uiPriority w:val="99"/>
    <w:pPr>
      <w:snapToGrid w:val="0"/>
      <w:spacing w:before="80" w:after="80"/>
    </w:pPr>
    <w:rPr>
      <w:rFonts w:ascii="Arial" w:hAnsi="Arial" w:eastAsia="宋体" w:cs="Times New Roman"/>
      <w:kern w:val="2"/>
      <w:sz w:val="18"/>
      <w:lang w:val="en-US" w:eastAsia="zh-CN" w:bidi="ar-SA"/>
    </w:rPr>
  </w:style>
  <w:style w:type="paragraph" w:customStyle="1" w:styleId="153">
    <w:name w:val="列表 41"/>
    <w:basedOn w:val="1"/>
    <w:qFormat/>
    <w:uiPriority w:val="99"/>
    <w:pPr>
      <w:adjustRightInd w:val="0"/>
      <w:snapToGrid w:val="0"/>
      <w:spacing w:line="360" w:lineRule="auto"/>
      <w:ind w:left="100" w:leftChars="600" w:hanging="200" w:hangingChars="200"/>
    </w:pPr>
    <w:rPr>
      <w:rFonts w:ascii="Times New Roman" w:hAnsi="Times New Roman"/>
      <w:sz w:val="24"/>
      <w:szCs w:val="20"/>
    </w:rPr>
  </w:style>
  <w:style w:type="paragraph" w:customStyle="1" w:styleId="154">
    <w:name w:val="列表接续1"/>
    <w:basedOn w:val="1"/>
    <w:qFormat/>
    <w:uiPriority w:val="99"/>
    <w:pPr>
      <w:adjustRightInd w:val="0"/>
      <w:snapToGrid w:val="0"/>
      <w:spacing w:after="120" w:line="360" w:lineRule="auto"/>
      <w:ind w:left="420" w:leftChars="200"/>
    </w:pPr>
    <w:rPr>
      <w:rFonts w:ascii="Times New Roman" w:hAnsi="Times New Roman"/>
      <w:sz w:val="24"/>
      <w:szCs w:val="20"/>
    </w:rPr>
  </w:style>
  <w:style w:type="paragraph" w:customStyle="1" w:styleId="155">
    <w:name w:val="内容标题"/>
    <w:basedOn w:val="156"/>
    <w:qFormat/>
    <w:uiPriority w:val="99"/>
    <w:rPr>
      <w:rFonts w:ascii="Tahoma" w:hAnsi="Tahoma"/>
      <w:sz w:val="24"/>
    </w:rPr>
  </w:style>
  <w:style w:type="paragraph" w:customStyle="1" w:styleId="156">
    <w:name w:val="文档结构图1"/>
    <w:basedOn w:val="1"/>
    <w:qFormat/>
    <w:uiPriority w:val="99"/>
    <w:pPr>
      <w:shd w:val="clear" w:color="auto" w:fill="000080"/>
    </w:pPr>
    <w:rPr>
      <w:rFonts w:ascii="Times New Roman" w:hAnsi="Times New Roman"/>
      <w:sz w:val="28"/>
      <w:szCs w:val="20"/>
    </w:rPr>
  </w:style>
  <w:style w:type="paragraph" w:customStyle="1" w:styleId="157">
    <w:name w:val="1"/>
    <w:basedOn w:val="1"/>
    <w:qFormat/>
    <w:uiPriority w:val="99"/>
    <w:rPr>
      <w:rFonts w:ascii="Tahoma" w:hAnsi="Tahoma"/>
      <w:sz w:val="24"/>
      <w:szCs w:val="20"/>
    </w:rPr>
  </w:style>
  <w:style w:type="paragraph" w:customStyle="1" w:styleId="158">
    <w:name w:val="xl23"/>
    <w:basedOn w:val="1"/>
    <w:qFormat/>
    <w:uiPriority w:val="99"/>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159">
    <w:name w:val="列出段落1"/>
    <w:basedOn w:val="1"/>
    <w:qFormat/>
    <w:uiPriority w:val="99"/>
    <w:pPr>
      <w:ind w:firstLine="420" w:firstLineChars="200"/>
    </w:pPr>
    <w:rPr>
      <w:rFonts w:ascii="Times New Roman" w:hAnsi="Times New Roman"/>
      <w:sz w:val="28"/>
      <w:szCs w:val="20"/>
    </w:rPr>
  </w:style>
  <w:style w:type="paragraph" w:customStyle="1" w:styleId="160">
    <w:name w:val="样式 样式 正文首行缩进 2 + 左  0 字符 + 首行缩进:  2.57 字符"/>
    <w:basedOn w:val="1"/>
    <w:next w:val="1"/>
    <w:qFormat/>
    <w:uiPriority w:val="99"/>
    <w:pPr>
      <w:adjustRightInd w:val="0"/>
      <w:snapToGrid w:val="0"/>
      <w:spacing w:after="120"/>
      <w:ind w:firstLine="540" w:firstLineChars="257"/>
    </w:pPr>
    <w:rPr>
      <w:rFonts w:ascii="Times New Roman" w:hAnsi="Times New Roman"/>
      <w:szCs w:val="20"/>
    </w:rPr>
  </w:style>
  <w:style w:type="paragraph" w:customStyle="1" w:styleId="161">
    <w:name w:val="附录4"/>
    <w:basedOn w:val="1"/>
    <w:next w:val="1"/>
    <w:uiPriority w:val="99"/>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162">
    <w:name w:val="Char1 Char Char Char1"/>
    <w:basedOn w:val="1"/>
    <w:qFormat/>
    <w:uiPriority w:val="99"/>
    <w:rPr>
      <w:rFonts w:ascii="Tahoma" w:hAnsi="Tahoma"/>
      <w:sz w:val="24"/>
      <w:szCs w:val="20"/>
    </w:rPr>
  </w:style>
  <w:style w:type="paragraph" w:customStyle="1" w:styleId="163">
    <w:name w:val="Item List"/>
    <w:qFormat/>
    <w:uiPriority w:val="99"/>
    <w:pPr>
      <w:numPr>
        <w:ilvl w:val="0"/>
        <w:numId w:val="7"/>
      </w:numPr>
      <w:tabs>
        <w:tab w:val="left" w:pos="1644"/>
        <w:tab w:val="clear" w:pos="720"/>
      </w:tabs>
      <w:spacing w:line="300" w:lineRule="auto"/>
      <w:ind w:left="1644" w:hanging="510"/>
      <w:jc w:val="both"/>
    </w:pPr>
    <w:rPr>
      <w:rFonts w:ascii="Arial" w:hAnsi="Arial" w:eastAsia="宋体" w:cs="Times New Roman"/>
      <w:sz w:val="21"/>
      <w:lang w:val="en-US" w:eastAsia="zh-CN" w:bidi="ar-SA"/>
    </w:rPr>
  </w:style>
  <w:style w:type="paragraph" w:customStyle="1" w:styleId="164">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65">
    <w:name w:val="Char Char Char Char Char Char Char Char Char"/>
    <w:basedOn w:val="1"/>
    <w:qFormat/>
    <w:uiPriority w:val="99"/>
    <w:rPr>
      <w:rFonts w:ascii="Times New Roman" w:hAnsi="Times New Roman"/>
      <w:szCs w:val="20"/>
    </w:rPr>
  </w:style>
  <w:style w:type="paragraph" w:customStyle="1" w:styleId="166">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167">
    <w:name w:val="列表项目"/>
    <w:basedOn w:val="1"/>
    <w:qFormat/>
    <w:uiPriority w:val="99"/>
    <w:pPr>
      <w:numPr>
        <w:ilvl w:val="0"/>
        <w:numId w:val="8"/>
      </w:numPr>
      <w:tabs>
        <w:tab w:val="left" w:pos="420"/>
      </w:tabs>
      <w:spacing w:line="288" w:lineRule="auto"/>
      <w:ind w:left="840" w:leftChars="200" w:hanging="420" w:hangingChars="200"/>
    </w:pPr>
    <w:rPr>
      <w:rFonts w:ascii="Times New Roman" w:hAnsi="Times New Roman"/>
      <w:szCs w:val="20"/>
    </w:rPr>
  </w:style>
  <w:style w:type="paragraph" w:customStyle="1" w:styleId="168">
    <w:name w:val="表号"/>
    <w:basedOn w:val="1"/>
    <w:qFormat/>
    <w:uiPriority w:val="99"/>
    <w:pPr>
      <w:numPr>
        <w:ilvl w:val="0"/>
        <w:numId w:val="9"/>
      </w:numPr>
      <w:tabs>
        <w:tab w:val="left" w:pos="648"/>
        <w:tab w:val="clear" w:pos="425"/>
      </w:tabs>
      <w:autoSpaceDE w:val="0"/>
      <w:autoSpaceDN w:val="0"/>
      <w:adjustRightInd w:val="0"/>
      <w:spacing w:before="210" w:after="210"/>
      <w:ind w:hanging="137"/>
      <w:jc w:val="center"/>
    </w:pPr>
    <w:rPr>
      <w:rFonts w:ascii="Times New Roman" w:hAnsi="Times New Roman"/>
      <w:kern w:val="0"/>
      <w:szCs w:val="20"/>
      <w:lang w:eastAsia="en-US"/>
    </w:rPr>
  </w:style>
  <w:style w:type="paragraph" w:customStyle="1" w:styleId="169">
    <w:name w:val="论文正文"/>
    <w:basedOn w:val="1"/>
    <w:qFormat/>
    <w:uiPriority w:val="99"/>
    <w:pPr>
      <w:spacing w:line="360" w:lineRule="auto"/>
      <w:ind w:firstLine="480" w:firstLineChars="200"/>
    </w:pPr>
    <w:rPr>
      <w:rFonts w:ascii="宋体" w:hAnsi="宋体" w:cs="宋体"/>
      <w:kern w:val="0"/>
      <w:sz w:val="24"/>
      <w:szCs w:val="20"/>
    </w:rPr>
  </w:style>
  <w:style w:type="paragraph" w:customStyle="1" w:styleId="170">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71">
    <w:name w:val="表头样式"/>
    <w:basedOn w:val="1"/>
    <w:qFormat/>
    <w:uiPriority w:val="99"/>
    <w:pPr>
      <w:autoSpaceDE w:val="0"/>
      <w:autoSpaceDN w:val="0"/>
      <w:adjustRightInd w:val="0"/>
      <w:spacing w:line="360" w:lineRule="auto"/>
      <w:jc w:val="left"/>
    </w:pPr>
    <w:rPr>
      <w:rFonts w:ascii="Times New Roman" w:hAnsi="Times New Roman"/>
      <w:b/>
      <w:kern w:val="0"/>
      <w:szCs w:val="20"/>
    </w:rPr>
  </w:style>
  <w:style w:type="paragraph" w:customStyle="1" w:styleId="172">
    <w:name w:val="Char Char Char"/>
    <w:basedOn w:val="1"/>
    <w:qFormat/>
    <w:uiPriority w:val="99"/>
    <w:rPr>
      <w:rFonts w:ascii="Tahoma" w:hAnsi="Tahoma"/>
      <w:sz w:val="24"/>
      <w:szCs w:val="20"/>
    </w:rPr>
  </w:style>
  <w:style w:type="paragraph" w:customStyle="1" w:styleId="173">
    <w:name w:val="样式 行距: 1.5 倍行距1"/>
    <w:basedOn w:val="1"/>
    <w:qFormat/>
    <w:uiPriority w:val="99"/>
    <w:pPr>
      <w:snapToGrid w:val="0"/>
    </w:pPr>
    <w:rPr>
      <w:rFonts w:ascii="Times New Roman" w:hAnsi="Times New Roman"/>
      <w:szCs w:val="20"/>
    </w:rPr>
  </w:style>
  <w:style w:type="paragraph" w:customStyle="1" w:styleId="174">
    <w:name w:val="表格内文字"/>
    <w:basedOn w:val="80"/>
    <w:qFormat/>
    <w:uiPriority w:val="99"/>
    <w:pPr>
      <w:snapToGrid/>
      <w:spacing w:line="240" w:lineRule="auto"/>
    </w:pPr>
    <w:rPr>
      <w:color w:val="000000"/>
    </w:rPr>
  </w:style>
  <w:style w:type="paragraph" w:customStyle="1" w:styleId="175">
    <w:name w:val="正文文本缩进1"/>
    <w:basedOn w:val="1"/>
    <w:qFormat/>
    <w:uiPriority w:val="99"/>
    <w:pPr>
      <w:spacing w:line="700" w:lineRule="exact"/>
      <w:ind w:left="960"/>
    </w:pPr>
    <w:rPr>
      <w:rFonts w:ascii="Times New Roman" w:hAnsi="Times New Roman"/>
      <w:sz w:val="44"/>
      <w:szCs w:val="20"/>
    </w:rPr>
  </w:style>
  <w:style w:type="paragraph" w:customStyle="1" w:styleId="176">
    <w:name w:val="普通(网站)1"/>
    <w:basedOn w:val="1"/>
    <w:qFormat/>
    <w:uiPriority w:val="99"/>
    <w:pPr>
      <w:widowControl/>
      <w:spacing w:before="100" w:beforeAutospacing="1" w:after="100" w:afterAutospacing="1"/>
      <w:jc w:val="left"/>
    </w:pPr>
    <w:rPr>
      <w:rFonts w:ascii="Arial Unicode MS" w:hAnsi="Arial Unicode MS"/>
      <w:kern w:val="0"/>
      <w:sz w:val="24"/>
      <w:szCs w:val="20"/>
    </w:rPr>
  </w:style>
  <w:style w:type="paragraph" w:customStyle="1" w:styleId="177">
    <w:name w:val="正文 + 三号"/>
    <w:basedOn w:val="1"/>
    <w:qFormat/>
    <w:uiPriority w:val="99"/>
    <w:rPr>
      <w:rFonts w:ascii="Times New Roman" w:hAnsi="Times New Roman"/>
      <w:szCs w:val="20"/>
    </w:rPr>
  </w:style>
  <w:style w:type="paragraph" w:customStyle="1" w:styleId="178">
    <w:name w:val="00"/>
    <w:basedOn w:val="1"/>
    <w:qFormat/>
    <w:uiPriority w:val="99"/>
    <w:pPr>
      <w:autoSpaceDE w:val="0"/>
      <w:autoSpaceDN w:val="0"/>
      <w:adjustRightInd w:val="0"/>
      <w:jc w:val="left"/>
    </w:pPr>
    <w:rPr>
      <w:rFonts w:ascii="黑体" w:hAnsi="Times New Roman" w:eastAsia="黑体"/>
      <w:b/>
      <w:kern w:val="0"/>
      <w:sz w:val="20"/>
      <w:szCs w:val="20"/>
    </w:rPr>
  </w:style>
  <w:style w:type="paragraph" w:customStyle="1" w:styleId="179">
    <w:name w:val="正文首行缩进 21"/>
    <w:basedOn w:val="175"/>
    <w:qFormat/>
    <w:uiPriority w:val="99"/>
    <w:pPr>
      <w:spacing w:after="120" w:line="240" w:lineRule="auto"/>
      <w:ind w:left="420" w:leftChars="200" w:firstLine="420" w:firstLineChars="200"/>
    </w:pPr>
    <w:rPr>
      <w:sz w:val="21"/>
    </w:rPr>
  </w:style>
  <w:style w:type="paragraph" w:customStyle="1" w:styleId="180">
    <w:name w:val="列表编号 21"/>
    <w:basedOn w:val="1"/>
    <w:qFormat/>
    <w:uiPriority w:val="99"/>
    <w:pPr>
      <w:numPr>
        <w:ilvl w:val="0"/>
        <w:numId w:val="10"/>
      </w:numPr>
      <w:tabs>
        <w:tab w:val="left" w:pos="780"/>
        <w:tab w:val="clear" w:pos="1644"/>
      </w:tabs>
      <w:spacing w:line="360" w:lineRule="auto"/>
      <w:ind w:left="780" w:hanging="360"/>
    </w:pPr>
    <w:rPr>
      <w:rFonts w:ascii="Times New Roman" w:hAnsi="Times New Roman"/>
      <w:sz w:val="24"/>
      <w:szCs w:val="20"/>
    </w:rPr>
  </w:style>
  <w:style w:type="paragraph" w:customStyle="1" w:styleId="181">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82">
    <w:name w:val="Char Char Char Char Char Char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183">
    <w:name w:val="Normal New New"/>
    <w:qFormat/>
    <w:uiPriority w:val="99"/>
    <w:pPr>
      <w:widowControl w:val="0"/>
      <w:jc w:val="both"/>
    </w:pPr>
    <w:rPr>
      <w:rFonts w:ascii="Times New Roman" w:hAnsi="Times New Roman" w:eastAsia="宋体" w:cs="Times New Roman"/>
      <w:kern w:val="2"/>
      <w:sz w:val="28"/>
      <w:lang w:val="en-US" w:eastAsia="zh-CN" w:bidi="ar-SA"/>
    </w:rPr>
  </w:style>
  <w:style w:type="paragraph" w:customStyle="1" w:styleId="184">
    <w:name w:val="Style Heading 3h3Heading 3 - oldLevel 3 HeadH3level_3PIM 3se..."/>
    <w:basedOn w:val="4"/>
    <w:qFormat/>
    <w:uiPriority w:val="99"/>
    <w:pPr>
      <w:numPr>
        <w:ilvl w:val="2"/>
        <w:numId w:val="6"/>
      </w:numPr>
      <w:tabs>
        <w:tab w:val="left" w:pos="425"/>
        <w:tab w:val="clear" w:pos="1260"/>
      </w:tabs>
      <w:ind w:left="709" w:hanging="709"/>
      <w:jc w:val="both"/>
    </w:pPr>
  </w:style>
  <w:style w:type="paragraph" w:customStyle="1" w:styleId="185">
    <w:name w:val="没有缩进（为图形使用）"/>
    <w:basedOn w:val="1"/>
    <w:qFormat/>
    <w:uiPriority w:val="99"/>
    <w:pPr>
      <w:spacing w:before="120" w:after="120" w:line="360" w:lineRule="auto"/>
    </w:pPr>
    <w:rPr>
      <w:rFonts w:ascii="Times New Roman" w:hAnsi="Times New Roman"/>
      <w:sz w:val="24"/>
      <w:szCs w:val="20"/>
    </w:rPr>
  </w:style>
  <w:style w:type="paragraph" w:customStyle="1" w:styleId="186">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87">
    <w:name w:val="文章正文"/>
    <w:basedOn w:val="1"/>
    <w:qFormat/>
    <w:uiPriority w:val="99"/>
    <w:pPr>
      <w:ind w:firstLine="560" w:firstLineChars="200"/>
    </w:pPr>
    <w:rPr>
      <w:rFonts w:ascii="FangSong_GB2312" w:hAnsi="宋体" w:eastAsia="Times New Roman"/>
      <w:color w:val="000000"/>
      <w:sz w:val="28"/>
      <w:szCs w:val="20"/>
    </w:rPr>
  </w:style>
  <w:style w:type="paragraph" w:customStyle="1" w:styleId="188">
    <w:name w:val="IN Feature"/>
    <w:next w:val="138"/>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189">
    <w:name w:val="正文2"/>
    <w:qFormat/>
    <w:uiPriority w:val="99"/>
    <w:pPr>
      <w:widowControl w:val="0"/>
      <w:spacing w:line="460" w:lineRule="exact"/>
      <w:ind w:firstLine="1624" w:firstLineChars="200"/>
      <w:jc w:val="both"/>
    </w:pPr>
    <w:rPr>
      <w:rFonts w:ascii="Times New Roman" w:hAnsi="Times New Roman" w:eastAsia="宋体" w:cs="Times New Roman"/>
      <w:kern w:val="2"/>
      <w:sz w:val="28"/>
      <w:lang w:val="en-US" w:eastAsia="zh-CN" w:bidi="ar-SA"/>
    </w:rPr>
  </w:style>
  <w:style w:type="paragraph" w:customStyle="1" w:styleId="190">
    <w:name w:val="1.正文"/>
    <w:basedOn w:val="1"/>
    <w:qFormat/>
    <w:uiPriority w:val="99"/>
    <w:pPr>
      <w:spacing w:line="360" w:lineRule="auto"/>
      <w:ind w:left="540" w:leftChars="225" w:firstLine="540" w:firstLineChars="225"/>
    </w:pPr>
    <w:rPr>
      <w:rFonts w:ascii="Times New Roman" w:hAnsi="Times New Roman"/>
      <w:sz w:val="24"/>
      <w:szCs w:val="20"/>
    </w:rPr>
  </w:style>
  <w:style w:type="paragraph" w:customStyle="1" w:styleId="191">
    <w:name w:val="Title - Date"/>
    <w:basedOn w:val="34"/>
    <w:next w:val="1"/>
    <w:qFormat/>
    <w:uiPriority w:val="99"/>
    <w:pPr>
      <w:spacing w:before="240" w:after="720"/>
    </w:pPr>
    <w:rPr>
      <w:sz w:val="28"/>
    </w:rPr>
  </w:style>
  <w:style w:type="paragraph" w:customStyle="1" w:styleId="192">
    <w:name w:val="正文4"/>
    <w:basedOn w:val="1"/>
    <w:qFormat/>
    <w:uiPriority w:val="99"/>
    <w:pPr>
      <w:tabs>
        <w:tab w:val="left" w:pos="1275"/>
      </w:tabs>
      <w:spacing w:before="60" w:after="60" w:line="360" w:lineRule="auto"/>
      <w:ind w:left="820" w:leftChars="400" w:hanging="705"/>
    </w:pPr>
    <w:rPr>
      <w:rFonts w:ascii="Times New Roman" w:hAnsi="Times New Roman"/>
      <w:sz w:val="24"/>
      <w:szCs w:val="20"/>
    </w:rPr>
  </w:style>
  <w:style w:type="paragraph" w:customStyle="1" w:styleId="193">
    <w:name w:val="样式4"/>
    <w:basedOn w:val="5"/>
    <w:qFormat/>
    <w:uiPriority w:val="99"/>
    <w:pPr>
      <w:tabs>
        <w:tab w:val="clear" w:pos="780"/>
      </w:tabs>
      <w:adjustRightInd w:val="0"/>
      <w:snapToGrid w:val="0"/>
      <w:spacing w:before="280" w:line="374" w:lineRule="auto"/>
      <w:ind w:left="0" w:firstLine="0"/>
    </w:pPr>
  </w:style>
  <w:style w:type="paragraph" w:customStyle="1" w:styleId="194">
    <w:name w:val="小标题 1"/>
    <w:basedOn w:val="1"/>
    <w:qFormat/>
    <w:uiPriority w:val="99"/>
    <w:pPr>
      <w:autoSpaceDE w:val="0"/>
      <w:autoSpaceDN w:val="0"/>
      <w:adjustRightInd w:val="0"/>
      <w:spacing w:line="360" w:lineRule="atLeast"/>
    </w:pPr>
    <w:rPr>
      <w:rFonts w:ascii="文鼎粗黑" w:hAnsi="Times New Roman" w:eastAsia="文鼎粗黑"/>
      <w:kern w:val="0"/>
      <w:sz w:val="22"/>
      <w:szCs w:val="20"/>
    </w:rPr>
  </w:style>
  <w:style w:type="paragraph" w:customStyle="1" w:styleId="195">
    <w:name w:val="首行缩进"/>
    <w:basedOn w:val="1"/>
    <w:qFormat/>
    <w:uiPriority w:val="99"/>
    <w:pPr>
      <w:spacing w:line="360" w:lineRule="auto"/>
      <w:ind w:firstLine="420" w:firstLineChars="200"/>
    </w:pPr>
    <w:rPr>
      <w:rFonts w:ascii="Times New Roman" w:hAnsi="Times New Roman"/>
      <w:szCs w:val="20"/>
    </w:rPr>
  </w:style>
  <w:style w:type="paragraph" w:customStyle="1" w:styleId="196">
    <w:name w:val="正文格式 Char"/>
    <w:basedOn w:val="1"/>
    <w:qFormat/>
    <w:uiPriority w:val="99"/>
    <w:pPr>
      <w:widowControl/>
      <w:adjustRightInd w:val="0"/>
      <w:spacing w:line="440" w:lineRule="atLeast"/>
      <w:ind w:firstLine="510"/>
      <w:textAlignment w:val="baseline"/>
    </w:pPr>
    <w:rPr>
      <w:rFonts w:ascii="Times New Roman" w:hAnsi="Times New Roman"/>
      <w:kern w:val="0"/>
      <w:sz w:val="24"/>
      <w:szCs w:val="20"/>
    </w:rPr>
  </w:style>
  <w:style w:type="paragraph" w:customStyle="1" w:styleId="197">
    <w:name w:val="编号正文"/>
    <w:basedOn w:val="136"/>
    <w:qFormat/>
    <w:uiPriority w:val="99"/>
    <w:pPr>
      <w:snapToGrid/>
      <w:spacing w:line="360" w:lineRule="auto"/>
      <w:ind w:left="1407" w:hanging="1047"/>
      <w:jc w:val="left"/>
    </w:pPr>
  </w:style>
  <w:style w:type="paragraph" w:customStyle="1" w:styleId="198">
    <w:name w:val="Normal New"/>
    <w:qFormat/>
    <w:uiPriority w:val="99"/>
    <w:pPr>
      <w:widowControl w:val="0"/>
      <w:jc w:val="both"/>
    </w:pPr>
    <w:rPr>
      <w:rFonts w:ascii="Times New Roman" w:hAnsi="Times New Roman" w:eastAsia="宋体" w:cs="Times New Roman"/>
      <w:kern w:val="2"/>
      <w:sz w:val="28"/>
      <w:lang w:val="en-US" w:eastAsia="zh-CN" w:bidi="ar-SA"/>
    </w:rPr>
  </w:style>
  <w:style w:type="paragraph" w:customStyle="1" w:styleId="199">
    <w:name w:val="Char1"/>
    <w:basedOn w:val="1"/>
    <w:qFormat/>
    <w:uiPriority w:val="99"/>
    <w:rPr>
      <w:rFonts w:ascii="Times New Roman" w:hAnsi="Times New Roman"/>
      <w:szCs w:val="20"/>
    </w:rPr>
  </w:style>
  <w:style w:type="paragraph" w:customStyle="1" w:styleId="200">
    <w:name w:val="Title - Revision"/>
    <w:basedOn w:val="34"/>
    <w:qFormat/>
    <w:uiPriority w:val="99"/>
    <w:pPr>
      <w:spacing w:before="720"/>
    </w:pPr>
  </w:style>
  <w:style w:type="paragraph" w:customStyle="1" w:styleId="20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02">
    <w:name w:val="AA Numbering"/>
    <w:basedOn w:val="1"/>
    <w:qFormat/>
    <w:uiPriority w:val="99"/>
    <w:pPr>
      <w:widowControl/>
      <w:tabs>
        <w:tab w:val="left" w:pos="1134"/>
        <w:tab w:val="left" w:pos="1280"/>
      </w:tabs>
      <w:adjustRightInd w:val="0"/>
      <w:snapToGrid w:val="0"/>
      <w:spacing w:line="280" w:lineRule="atLeast"/>
      <w:jc w:val="left"/>
    </w:pPr>
    <w:rPr>
      <w:rFonts w:ascii="Times New Roman" w:hAnsi="Times New Roman" w:eastAsia="PMingLiU"/>
      <w:kern w:val="0"/>
      <w:sz w:val="24"/>
      <w:szCs w:val="20"/>
      <w:lang w:eastAsia="zh-TW"/>
    </w:rPr>
  </w:style>
  <w:style w:type="paragraph" w:customStyle="1" w:styleId="203">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04">
    <w:name w:val="Char1 Char Char Char"/>
    <w:basedOn w:val="1"/>
    <w:qFormat/>
    <w:uiPriority w:val="99"/>
    <w:rPr>
      <w:rFonts w:ascii="Tahoma" w:hAnsi="Tahoma"/>
      <w:szCs w:val="20"/>
    </w:rPr>
  </w:style>
  <w:style w:type="paragraph" w:customStyle="1" w:styleId="205">
    <w:name w:val="摘要"/>
    <w:basedOn w:val="1"/>
    <w:next w:val="3"/>
    <w:qFormat/>
    <w:uiPriority w:val="99"/>
    <w:pPr>
      <w:spacing w:line="360" w:lineRule="auto"/>
    </w:pPr>
    <w:rPr>
      <w:rFonts w:ascii="Times New Roman" w:hAnsi="Times New Roman" w:eastAsia="黑体"/>
      <w:sz w:val="20"/>
      <w:szCs w:val="20"/>
    </w:rPr>
  </w:style>
  <w:style w:type="paragraph" w:customStyle="1" w:styleId="206">
    <w:name w:val="Note"/>
    <w:basedOn w:val="1"/>
    <w:qFormat/>
    <w:uiPriority w:val="99"/>
    <w:pPr>
      <w:pBdr>
        <w:top w:val="single" w:color="auto" w:sz="12" w:space="3"/>
        <w:bottom w:val="single" w:color="auto" w:sz="12" w:space="3"/>
      </w:pBdr>
      <w:spacing w:line="360" w:lineRule="auto"/>
    </w:pPr>
    <w:rPr>
      <w:rFonts w:ascii="Times New Roman" w:hAnsi="Times New Roman"/>
      <w:sz w:val="24"/>
      <w:szCs w:val="20"/>
    </w:rPr>
  </w:style>
  <w:style w:type="paragraph" w:customStyle="1" w:styleId="207">
    <w:name w:val="_"/>
    <w:basedOn w:val="1"/>
    <w:qFormat/>
    <w:uiPriority w:val="99"/>
    <w:pPr>
      <w:adjustRightInd w:val="0"/>
      <w:spacing w:line="360" w:lineRule="auto"/>
      <w:ind w:left="480" w:firstLine="200" w:firstLineChars="200"/>
      <w:textAlignment w:val="baseline"/>
    </w:pPr>
    <w:rPr>
      <w:rFonts w:ascii="Times New Roman" w:hAnsi="Times New Roman"/>
      <w:kern w:val="0"/>
      <w:sz w:val="24"/>
      <w:szCs w:val="20"/>
    </w:rPr>
  </w:style>
  <w:style w:type="paragraph" w:customStyle="1" w:styleId="208">
    <w:name w:val="样式 标题 6第五层条 + 三号 段前: 0.5 行"/>
    <w:basedOn w:val="7"/>
    <w:qFormat/>
    <w:uiPriority w:val="99"/>
    <w:pPr>
      <w:widowControl/>
      <w:adjustRightInd/>
      <w:snapToGrid/>
      <w:spacing w:beforeLines="50"/>
      <w:jc w:val="left"/>
    </w:pPr>
    <w:rPr>
      <w:kern w:val="24"/>
      <w:sz w:val="28"/>
    </w:rPr>
  </w:style>
  <w:style w:type="paragraph" w:customStyle="1" w:styleId="209">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210">
    <w:name w:val="样式 标题 1 + 居中 段前: 6 磅 段后: 6 磅 行距: 1.5 倍行距"/>
    <w:basedOn w:val="2"/>
    <w:qFormat/>
    <w:uiPriority w:val="99"/>
    <w:pPr>
      <w:adjustRightInd w:val="0"/>
      <w:snapToGrid w:val="0"/>
      <w:spacing w:beforeLines="100" w:afterLines="50" w:line="360" w:lineRule="auto"/>
      <w:jc w:val="center"/>
    </w:pPr>
    <w:rPr>
      <w:rFonts w:ascii="Times New Roman" w:hAnsi="Times New Roman"/>
      <w:bCs w:val="0"/>
      <w:sz w:val="32"/>
      <w:szCs w:val="20"/>
    </w:rPr>
  </w:style>
  <w:style w:type="paragraph" w:customStyle="1" w:styleId="211">
    <w:name w:val="图表目录1"/>
    <w:basedOn w:val="1"/>
    <w:next w:val="1"/>
    <w:qFormat/>
    <w:uiPriority w:val="99"/>
    <w:pPr>
      <w:tabs>
        <w:tab w:val="right" w:leader="dot" w:pos="8640"/>
      </w:tabs>
      <w:spacing w:line="360" w:lineRule="auto"/>
      <w:ind w:left="400" w:hanging="400"/>
    </w:pPr>
    <w:rPr>
      <w:rFonts w:ascii="Times New Roman" w:hAnsi="Times New Roman"/>
      <w:sz w:val="24"/>
      <w:szCs w:val="20"/>
    </w:rPr>
  </w:style>
  <w:style w:type="paragraph" w:customStyle="1" w:styleId="212">
    <w:name w:val="附录2"/>
    <w:basedOn w:val="1"/>
    <w:next w:val="1"/>
    <w:qFormat/>
    <w:uiPriority w:val="99"/>
    <w:pPr>
      <w:tabs>
        <w:tab w:val="left" w:pos="420"/>
        <w:tab w:val="left" w:pos="624"/>
      </w:tabs>
      <w:ind w:left="420" w:hanging="420"/>
      <w:outlineLvl w:val="1"/>
    </w:pPr>
    <w:rPr>
      <w:rFonts w:ascii="黑体" w:hAnsi="黑体" w:eastAsia="黑体"/>
      <w:b/>
      <w:sz w:val="32"/>
      <w:szCs w:val="20"/>
    </w:rPr>
  </w:style>
  <w:style w:type="paragraph" w:customStyle="1" w:styleId="213">
    <w:name w:val="样式3"/>
    <w:basedOn w:val="2"/>
    <w:next w:val="2"/>
    <w:qFormat/>
    <w:uiPriority w:val="99"/>
    <w:pPr>
      <w:adjustRightInd w:val="0"/>
      <w:snapToGrid w:val="0"/>
      <w:spacing w:beforeLines="100" w:afterLines="50" w:line="576" w:lineRule="auto"/>
    </w:pPr>
    <w:rPr>
      <w:rFonts w:ascii="Times New Roman" w:hAnsi="Times New Roman" w:eastAsia="黑体"/>
      <w:bCs w:val="0"/>
      <w:szCs w:val="20"/>
    </w:rPr>
  </w:style>
  <w:style w:type="paragraph" w:customStyle="1" w:styleId="214">
    <w:name w:val="正文文本缩进 31"/>
    <w:basedOn w:val="1"/>
    <w:uiPriority w:val="99"/>
    <w:pPr>
      <w:spacing w:line="360" w:lineRule="auto"/>
      <w:ind w:firstLine="632"/>
    </w:pPr>
    <w:rPr>
      <w:rFonts w:ascii="黑体" w:hAnsi="Times New Roman" w:eastAsia="黑体"/>
      <w:sz w:val="28"/>
      <w:szCs w:val="20"/>
    </w:rPr>
  </w:style>
  <w:style w:type="paragraph" w:customStyle="1" w:styleId="215">
    <w:name w:val="标题无"/>
    <w:basedOn w:val="1"/>
    <w:qFormat/>
    <w:uiPriority w:val="99"/>
    <w:pPr>
      <w:spacing w:line="360" w:lineRule="auto"/>
    </w:pPr>
    <w:rPr>
      <w:rFonts w:ascii="Times New Roman" w:hAnsi="Times New Roman"/>
      <w:sz w:val="24"/>
      <w:szCs w:val="20"/>
    </w:rPr>
  </w:style>
  <w:style w:type="paragraph" w:customStyle="1" w:styleId="216">
    <w:name w:val="索引 11"/>
    <w:basedOn w:val="1"/>
    <w:next w:val="1"/>
    <w:uiPriority w:val="99"/>
    <w:pPr>
      <w:adjustRightInd w:val="0"/>
      <w:spacing w:line="240" w:lineRule="atLeast"/>
      <w:textAlignment w:val="baseline"/>
    </w:pPr>
    <w:rPr>
      <w:rFonts w:ascii="宋体" w:hAnsi="Times New Roman"/>
      <w:kern w:val="0"/>
      <w:szCs w:val="20"/>
    </w:rPr>
  </w:style>
  <w:style w:type="paragraph" w:customStyle="1" w:styleId="217">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218">
    <w:name w:val="样式1"/>
    <w:basedOn w:val="5"/>
    <w:uiPriority w:val="99"/>
    <w:pPr>
      <w:spacing w:before="500" w:after="260" w:line="560" w:lineRule="atLeast"/>
    </w:pPr>
  </w:style>
  <w:style w:type="paragraph" w:customStyle="1" w:styleId="219">
    <w:name w:val="正文表格"/>
    <w:basedOn w:val="1"/>
    <w:uiPriority w:val="99"/>
    <w:pPr>
      <w:adjustRightInd w:val="0"/>
      <w:spacing w:before="40" w:after="40"/>
    </w:pPr>
    <w:rPr>
      <w:rFonts w:ascii="Times New Roman" w:hAnsi="Times New Roman"/>
      <w:sz w:val="24"/>
      <w:szCs w:val="20"/>
    </w:rPr>
  </w:style>
  <w:style w:type="paragraph" w:customStyle="1" w:styleId="220">
    <w:name w:val="样式 宋体 五号 两端对齐 行距: 单倍行距"/>
    <w:basedOn w:val="1"/>
    <w:uiPriority w:val="99"/>
    <w:pPr>
      <w:adjustRightInd w:val="0"/>
      <w:textAlignment w:val="baseline"/>
    </w:pPr>
    <w:rPr>
      <w:rFonts w:ascii="宋体" w:hAnsi="宋体"/>
      <w:kern w:val="0"/>
      <w:szCs w:val="20"/>
    </w:rPr>
  </w:style>
  <w:style w:type="paragraph" w:customStyle="1" w:styleId="221">
    <w:name w:val="批注主题1"/>
    <w:basedOn w:val="12"/>
    <w:next w:val="12"/>
    <w:uiPriority w:val="99"/>
    <w:pPr>
      <w:widowControl w:val="0"/>
      <w:tabs>
        <w:tab w:val="clear" w:pos="1134"/>
      </w:tabs>
      <w:adjustRightInd/>
      <w:snapToGrid/>
      <w:spacing w:line="240" w:lineRule="auto"/>
    </w:pPr>
    <w:rPr>
      <w:rFonts w:eastAsia="宋体"/>
      <w:b/>
      <w:kern w:val="2"/>
      <w:sz w:val="21"/>
      <w:lang w:eastAsia="zh-CN"/>
    </w:rPr>
  </w:style>
  <w:style w:type="paragraph" w:customStyle="1" w:styleId="222">
    <w:name w:val="文档正文 Char Char Char Char"/>
    <w:basedOn w:val="1"/>
    <w:qFormat/>
    <w:uiPriority w:val="99"/>
    <w:pPr>
      <w:adjustRightInd w:val="0"/>
      <w:spacing w:line="440" w:lineRule="exact"/>
      <w:ind w:firstLine="420"/>
      <w:textAlignment w:val="baseline"/>
    </w:pPr>
    <w:rPr>
      <w:rFonts w:ascii="Arial Narrow" w:hAnsi="Arial Narrow"/>
      <w:kern w:val="0"/>
      <w:sz w:val="24"/>
      <w:szCs w:val="20"/>
    </w:rPr>
  </w:style>
  <w:style w:type="paragraph" w:customStyle="1" w:styleId="223">
    <w:name w:val="可研正文"/>
    <w:basedOn w:val="17"/>
    <w:uiPriority w:val="99"/>
    <w:pPr>
      <w:adjustRightInd w:val="0"/>
      <w:snapToGrid w:val="0"/>
      <w:spacing w:line="440" w:lineRule="exact"/>
      <w:ind w:firstLine="567"/>
    </w:pPr>
    <w:rPr>
      <w:sz w:val="28"/>
    </w:rPr>
  </w:style>
  <w:style w:type="paragraph" w:customStyle="1" w:styleId="224">
    <w:name w:val="图标"/>
    <w:basedOn w:val="1"/>
    <w:next w:val="1"/>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kern w:val="0"/>
      <w:sz w:val="24"/>
      <w:szCs w:val="20"/>
    </w:rPr>
  </w:style>
  <w:style w:type="paragraph" w:customStyle="1" w:styleId="225">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226">
    <w:name w:val="列表接续 31"/>
    <w:basedOn w:val="1"/>
    <w:uiPriority w:val="99"/>
    <w:pPr>
      <w:adjustRightInd w:val="0"/>
      <w:snapToGrid w:val="0"/>
      <w:spacing w:after="120" w:line="360" w:lineRule="auto"/>
      <w:ind w:left="1260" w:leftChars="600"/>
    </w:pPr>
    <w:rPr>
      <w:rFonts w:ascii="Times New Roman" w:hAnsi="Times New Roman"/>
      <w:sz w:val="24"/>
      <w:szCs w:val="20"/>
    </w:rPr>
  </w:style>
  <w:style w:type="paragraph" w:customStyle="1" w:styleId="227">
    <w:name w:val="È¡ÀÊ¡ÎÄ¡À¾"/>
    <w:basedOn w:val="1"/>
    <w:qFormat/>
    <w:uiPriority w:val="99"/>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228">
    <w:name w:val="操作步骤"/>
    <w:basedOn w:val="1"/>
    <w:qFormat/>
    <w:uiPriority w:val="99"/>
    <w:pPr>
      <w:numPr>
        <w:ilvl w:val="0"/>
        <w:numId w:val="11"/>
      </w:numPr>
      <w:tabs>
        <w:tab w:val="left" w:pos="425"/>
        <w:tab w:val="clear" w:pos="980"/>
      </w:tabs>
      <w:autoSpaceDE w:val="0"/>
      <w:autoSpaceDN w:val="0"/>
      <w:adjustRightInd w:val="0"/>
      <w:snapToGrid w:val="0"/>
      <w:spacing w:line="40" w:lineRule="atLeast"/>
      <w:ind w:left="425" w:hanging="425"/>
      <w:textAlignment w:val="bottom"/>
    </w:pPr>
    <w:rPr>
      <w:rFonts w:ascii="昆仑楷体" w:hAnsi="Times New Roman" w:eastAsia="楷体_GB2312"/>
      <w:kern w:val="0"/>
      <w:szCs w:val="20"/>
    </w:rPr>
  </w:style>
  <w:style w:type="paragraph" w:customStyle="1" w:styleId="229">
    <w:name w:val="标题5"/>
    <w:basedOn w:val="1"/>
    <w:qFormat/>
    <w:uiPriority w:val="99"/>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30">
    <w:name w:val="关键词"/>
    <w:basedOn w:val="1"/>
    <w:next w:val="1"/>
    <w:qFormat/>
    <w:uiPriority w:val="99"/>
    <w:pPr>
      <w:spacing w:line="360" w:lineRule="auto"/>
    </w:pPr>
    <w:rPr>
      <w:rFonts w:ascii="Times New Roman" w:hAnsi="Times New Roman" w:eastAsia="黑体"/>
      <w:sz w:val="20"/>
      <w:szCs w:val="20"/>
    </w:rPr>
  </w:style>
  <w:style w:type="paragraph" w:customStyle="1" w:styleId="231">
    <w:name w:val="表格文本"/>
    <w:qFormat/>
    <w:uiPriority w:val="99"/>
    <w:pPr>
      <w:tabs>
        <w:tab w:val="decimal" w:pos="0"/>
      </w:tabs>
    </w:pPr>
    <w:rPr>
      <w:rFonts w:ascii="Arial" w:hAnsi="Arial" w:eastAsia="宋体" w:cs="Times New Roman"/>
      <w:sz w:val="21"/>
      <w:lang w:val="en-US" w:eastAsia="zh-CN" w:bidi="ar-SA"/>
    </w:rPr>
  </w:style>
  <w:style w:type="paragraph" w:customStyle="1" w:styleId="232">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33">
    <w:name w:val="Char Char Char Char Char Char Char1"/>
    <w:basedOn w:val="156"/>
    <w:uiPriority w:val="99"/>
    <w:rPr>
      <w:rFonts w:ascii="宋体" w:hAnsi="Tahoma"/>
    </w:rPr>
  </w:style>
  <w:style w:type="paragraph" w:customStyle="1" w:styleId="234">
    <w:name w:val="样式 正文首行缩进 2 + 首行缩进:  2 字符"/>
    <w:basedOn w:val="1"/>
    <w:qFormat/>
    <w:uiPriority w:val="99"/>
    <w:pPr>
      <w:numPr>
        <w:ilvl w:val="0"/>
        <w:numId w:val="12"/>
      </w:numPr>
      <w:tabs>
        <w:tab w:val="left" w:pos="987"/>
        <w:tab w:val="clear" w:pos="360"/>
      </w:tabs>
      <w:adjustRightInd w:val="0"/>
      <w:snapToGrid w:val="0"/>
      <w:spacing w:line="360" w:lineRule="auto"/>
      <w:ind w:left="987" w:hanging="420"/>
    </w:pPr>
    <w:rPr>
      <w:rFonts w:ascii="Arial" w:hAnsi="Arial"/>
      <w:b/>
      <w:sz w:val="24"/>
      <w:szCs w:val="20"/>
    </w:rPr>
  </w:style>
  <w:style w:type="paragraph" w:customStyle="1" w:styleId="235">
    <w:name w:val="附录3"/>
    <w:basedOn w:val="1"/>
    <w:next w:val="1"/>
    <w:uiPriority w:val="99"/>
    <w:pPr>
      <w:tabs>
        <w:tab w:val="left" w:pos="851"/>
      </w:tabs>
      <w:ind w:left="425" w:hanging="425"/>
      <w:outlineLvl w:val="2"/>
    </w:pPr>
    <w:rPr>
      <w:rFonts w:ascii="Times New Roman" w:hAnsi="Times New Roman" w:eastAsia="黑体"/>
      <w:b/>
      <w:sz w:val="32"/>
      <w:szCs w:val="20"/>
    </w:rPr>
  </w:style>
  <w:style w:type="paragraph" w:customStyle="1" w:styleId="236">
    <w:name w:val="列表 51"/>
    <w:basedOn w:val="1"/>
    <w:uiPriority w:val="99"/>
    <w:pPr>
      <w:adjustRightInd w:val="0"/>
      <w:snapToGrid w:val="0"/>
      <w:spacing w:line="360" w:lineRule="auto"/>
      <w:ind w:left="100" w:leftChars="800" w:hanging="200" w:hangingChars="200"/>
    </w:pPr>
    <w:rPr>
      <w:rFonts w:ascii="Times New Roman" w:hAnsi="Times New Roman"/>
      <w:sz w:val="24"/>
      <w:szCs w:val="20"/>
    </w:rPr>
  </w:style>
  <w:style w:type="paragraph" w:customStyle="1" w:styleId="237">
    <w:name w:val="普通正文"/>
    <w:basedOn w:val="1"/>
    <w:uiPriority w:val="99"/>
    <w:pPr>
      <w:adjustRightInd w:val="0"/>
      <w:spacing w:before="120" w:after="120" w:line="360" w:lineRule="auto"/>
      <w:ind w:firstLine="480"/>
      <w:jc w:val="left"/>
      <w:textAlignment w:val="baseline"/>
    </w:pPr>
    <w:rPr>
      <w:rFonts w:ascii="Arial" w:hAnsi="Arial"/>
      <w:kern w:val="0"/>
      <w:sz w:val="24"/>
      <w:szCs w:val="20"/>
    </w:rPr>
  </w:style>
  <w:style w:type="paragraph" w:customStyle="1" w:styleId="238">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39">
    <w:name w:val="标准正文"/>
    <w:basedOn w:val="175"/>
    <w:uiPriority w:val="99"/>
    <w:pPr>
      <w:spacing w:before="60" w:after="60" w:line="360" w:lineRule="auto"/>
      <w:ind w:left="0" w:firstLine="482"/>
    </w:pPr>
    <w:rPr>
      <w:rFonts w:ascii="Arial" w:hAnsi="Arial"/>
      <w:sz w:val="24"/>
    </w:rPr>
  </w:style>
  <w:style w:type="paragraph" w:customStyle="1" w:styleId="240">
    <w:name w:val="表头文本"/>
    <w:uiPriority w:val="99"/>
    <w:pPr>
      <w:jc w:val="center"/>
    </w:pPr>
    <w:rPr>
      <w:rFonts w:ascii="Arial" w:hAnsi="Arial" w:eastAsia="宋体" w:cs="Times New Roman"/>
      <w:b/>
      <w:sz w:val="21"/>
      <w:lang w:val="en-US" w:eastAsia="zh-CN" w:bidi="ar-SA"/>
    </w:rPr>
  </w:style>
  <w:style w:type="paragraph" w:customStyle="1" w:styleId="241">
    <w:name w:val="列表接续 41"/>
    <w:basedOn w:val="1"/>
    <w:qFormat/>
    <w:uiPriority w:val="99"/>
    <w:pPr>
      <w:adjustRightInd w:val="0"/>
      <w:snapToGrid w:val="0"/>
      <w:spacing w:after="120" w:line="360" w:lineRule="auto"/>
      <w:ind w:left="1680" w:leftChars="800"/>
    </w:pPr>
    <w:rPr>
      <w:rFonts w:ascii="Times New Roman" w:hAnsi="Times New Roman"/>
      <w:sz w:val="24"/>
      <w:szCs w:val="20"/>
    </w:rPr>
  </w:style>
  <w:style w:type="paragraph" w:customStyle="1" w:styleId="242">
    <w:name w:val="p0"/>
    <w:basedOn w:val="1"/>
    <w:uiPriority w:val="99"/>
    <w:pPr>
      <w:widowControl/>
    </w:pPr>
    <w:rPr>
      <w:rFonts w:ascii="Times New Roman" w:hAnsi="Times New Roman"/>
      <w:kern w:val="0"/>
      <w:sz w:val="28"/>
      <w:szCs w:val="28"/>
    </w:rPr>
  </w:style>
  <w:style w:type="character" w:customStyle="1" w:styleId="243">
    <w:name w:val="Comment Subject Char"/>
    <w:basedOn w:val="102"/>
    <w:link w:val="11"/>
    <w:semiHidden/>
    <w:qFormat/>
    <w:locked/>
    <w:uiPriority w:val="99"/>
    <w:rPr>
      <w:b/>
    </w:rPr>
  </w:style>
  <w:style w:type="character" w:customStyle="1" w:styleId="244">
    <w:name w:val="批注文字 Char"/>
    <w:link w:val="12"/>
    <w:qFormat/>
    <w:locked/>
    <w:uiPriority w:val="99"/>
    <w:rPr>
      <w:rFonts w:eastAsia="PMingLiU"/>
      <w:sz w:val="24"/>
      <w:lang w:val="en-US" w:eastAsia="zh-TW"/>
    </w:rPr>
  </w:style>
  <w:style w:type="character" w:customStyle="1" w:styleId="245">
    <w:name w:val="批注主题 Char"/>
    <w:link w:val="11"/>
    <w:semiHidden/>
    <w:qFormat/>
    <w:locked/>
    <w:uiPriority w:val="99"/>
    <w:rPr>
      <w:rFonts w:eastAsia="宋体"/>
      <w:b/>
      <w:kern w:val="2"/>
      <w:sz w:val="28"/>
      <w:lang w:val="en-US" w:eastAsia="zh-CN"/>
    </w:rPr>
  </w:style>
  <w:style w:type="character" w:customStyle="1" w:styleId="246">
    <w:name w:val="纯文本 Char1"/>
    <w:basedOn w:val="35"/>
    <w:link w:val="22"/>
    <w:semiHidden/>
    <w:locked/>
    <w:uiPriority w:val="99"/>
    <w:rPr>
      <w:rFonts w:ascii="宋体" w:hAnsi="Courier New" w:cs="Courier New"/>
      <w:sz w:val="21"/>
      <w:szCs w:val="21"/>
    </w:rPr>
  </w:style>
  <w:style w:type="character" w:customStyle="1" w:styleId="247">
    <w:name w:val="正文文本缩进 Char"/>
    <w:basedOn w:val="35"/>
    <w:link w:val="18"/>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29F6D-E266-452F-B576-D71318A7C86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58</Pages>
  <Words>5978</Words>
  <Characters>34076</Characters>
  <Lines>283</Lines>
  <Paragraphs>79</Paragraphs>
  <TotalTime>1</TotalTime>
  <ScaleCrop>false</ScaleCrop>
  <LinksUpToDate>false</LinksUpToDate>
  <CharactersWithSpaces>39975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2018-06-11T07:26:00Z</dcterms:created>
  <dc:creator>liujun</dc:creator>
  <cp:lastModifiedBy>cbq</cp:lastModifiedBy>
  <cp:lastPrinted>2018-06-14T03:19:00Z</cp:lastPrinted>
  <dcterms:modified xsi:type="dcterms:W3CDTF">2018-06-15T06:57:44Z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