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黑体_GBK"/>
          <w:sz w:val="32"/>
          <w:szCs w:val="32"/>
        </w:rPr>
      </w:pPr>
      <w:r>
        <w:rPr>
          <w:rFonts w:ascii="Times New Roman" w:hAnsi="Times New Roman" w:eastAsia="方正黑体_GBK"/>
          <w:sz w:val="32"/>
          <w:szCs w:val="32"/>
        </w:rPr>
        <w:t>附件1</w:t>
      </w:r>
    </w:p>
    <w:p>
      <w:pPr>
        <w:spacing w:line="620" w:lineRule="exact"/>
        <w:jc w:val="left"/>
        <w:rPr>
          <w:rFonts w:ascii="Times New Roman" w:hAnsi="Times New Roman" w:eastAsia="方正仿宋_GBK"/>
          <w:sz w:val="33"/>
          <w:szCs w:val="33"/>
        </w:rPr>
      </w:pPr>
    </w:p>
    <w:p>
      <w:pPr>
        <w:widowControl/>
        <w:spacing w:line="620" w:lineRule="exact"/>
        <w:jc w:val="center"/>
        <w:outlineLvl w:val="0"/>
        <w:rPr>
          <w:rFonts w:ascii="Times New Roman" w:hAnsi="Times New Roman" w:eastAsia="方正小标宋_GBK"/>
          <w:sz w:val="44"/>
          <w:szCs w:val="44"/>
        </w:rPr>
      </w:pPr>
      <w:bookmarkStart w:id="0" w:name="_GoBack"/>
      <w:r>
        <w:rPr>
          <w:rFonts w:ascii="Times New Roman" w:hAnsi="Times New Roman" w:eastAsia="方正小标宋_GBK"/>
          <w:sz w:val="44"/>
          <w:szCs w:val="44"/>
        </w:rPr>
        <w:t>202</w:t>
      </w:r>
      <w:r>
        <w:rPr>
          <w:rFonts w:hint="eastAsia" w:ascii="Times New Roman" w:hAnsi="Times New Roman" w:eastAsia="方正小标宋_GBK"/>
          <w:sz w:val="44"/>
          <w:szCs w:val="44"/>
        </w:rPr>
        <w:t>2</w:t>
      </w:r>
      <w:r>
        <w:rPr>
          <w:rFonts w:ascii="Times New Roman" w:hAnsi="Times New Roman" w:eastAsia="方正小标宋_GBK"/>
          <w:sz w:val="44"/>
          <w:szCs w:val="44"/>
        </w:rPr>
        <w:t>年度重庆市体育科研项目研究指南</w:t>
      </w:r>
    </w:p>
    <w:bookmarkEnd w:id="0"/>
    <w:p>
      <w:pPr>
        <w:spacing w:line="620" w:lineRule="exact"/>
        <w:jc w:val="left"/>
        <w:rPr>
          <w:rFonts w:ascii="Times New Roman" w:hAnsi="Times New Roman" w:eastAsia="方正仿宋_GBK"/>
          <w:bCs/>
          <w:color w:val="000000"/>
          <w:kern w:val="0"/>
          <w:sz w:val="32"/>
          <w:szCs w:val="32"/>
        </w:rPr>
      </w:pP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1.重庆市摔跤运动员伤病预防和康复一体化提升研究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考核要求：探索建立我市摔跤运动员伤病预防关键指标评估体系，提供伤病风险监控分析报告，提供体能康复训练干预方案。</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2.核心力量对400米运动员表现能力影响的研究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考核要求：研究对象为我市优秀400米运动员，熟悉400米项目训练特点，能够长期跟队开展训练，提供运动员核心力量评估分析报告，提供综合提升训练方案，提供应用评价报告。</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3.共建网球运动队的数字化体能训练模式研究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考核要求：探索建立基于数字化训练理念、适用于网球运动训练模式，每年为我市共建网球队跟队服务6个月以上，每年为网球优秀教练员和运动员开展讲座2-3次。</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4.基于奥运冠军知识图谱的羽毛球智慧场地系统应用研究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构建低成本、易部署的羽毛球智慧场地系统，摄像头数量不多于6个，可在室内场馆使用；系统可识别场地内羽毛球运动轨迹，并预测羽毛球可能的落点，识别轨迹精度优于0.1m；系统包含以奥运冠军作为专家的羽毛球知识库，专项教练库内容不少于10项。</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5.基于运动参数精准化监测与智能分析系统的羽毛球运动员踝关节扭伤的个体化防护策略制定</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考核要求：建立一套羽毛球运动员踝关节扭伤的个体化防护策略，提供效果评估报告；开发一套具有自主知识产权的运动参数精准化监测与智能分析系统；申报专利1项，发表论文1-2篇。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6.重庆市优秀运动员备战十五届全运会心理素质现状与对策研究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考核要求：提供我市优秀运动员备战十五届全运会心理素质现状调查报告，累计为优秀运动队开展跟队心理服务不少于3个月，提供个性化心理服务方案，提供心理服务应用报告。</w:t>
      </w:r>
    </w:p>
    <w:p>
      <w:pPr>
        <w:spacing w:line="60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7.基于感恩品质的心理服务对运动员心理疲劳的影响和作用机制应用研究</w:t>
      </w:r>
    </w:p>
    <w:p>
      <w:pPr>
        <w:spacing w:line="60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考核要求：研究对象为我市竞走优秀运动员，累计开展跟队心理服务不少于6个月，提供心理服务应用报告。</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8.生物标志物在监测优秀耐力运动员赛前水合状态中的应用研究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考核要求：运用尿素氮/肌酐比值、钠浓度、唾液、汗液电解质、血液微量元素等生物标志物，探索解决优秀耐力运动员赛前和赛中水合状态问题，帮助运动员取得好成绩，发表论文1-2篇。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9.药膳结合八段锦养生操在中老年人骨关节疾病的防治应用</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考核要求：探索和建立药膳结合八段锦养生操对中老年人骨关节疾病的防治方法，举办公益讲座1-2次，发表论文1篇。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10.运动康复对冠心病患者疗效的研究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考核要求：探索和建立冠心病患者运动康复体系，提供冠心病患者运动康复指导手册，开展公益讲座1-2次，发表论文1-2篇。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11.中低强度有氧运动对多囊卵巢综合征患者妊娠结局和代谢状态影响的应用研究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考核要求：探索不同中低强度的有氧运动方式对改善多囊卵巢综合征患者妊娠结局和代谢功能紊乱的影响，为运动干预改善多囊卵巢综合征患者妊娠结局的有效性、提高生育率提供对策建议，发表论文1-2篇。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12.有氧运动联合抗阻训练对糖尿病患者糖代谢与运动能力改善的应用研究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考核要求：提供我市糖尿病患者数据分析报告，分类提出有氧运动联合抗阻训练干预策略，提供应用研究报告，至少开展公益讲座或培训3-5次。</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13.科学锻炼、营养膳食对胃肠紊乱患者功能恢复的应用研究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考核要求：改善胃肠紊乱患者重要代谢参数，探索胃肠紊乱患者最优化的科学锻炼和膳食干预处方组合，提供技术方案应用报告，开展公益讲座1-2场，发表论文1-2篇。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14.不同运动方式对非酒精性脂肪肝合并肥胖人群影响的应用研究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考核要求：改善非酒精性脂肪肝合并肥胖患者肝损伤和肥胖程度及其他重要代谢参数，探索制定不同运动方式干预方案，提供应用报告，开展公益讲座1-2场，发表论文1-2篇。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15.重庆市慢阻肺患者肺康复运动方案制定与应用研究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考核要求：提供我市慢阻肺人群肺康复运动的现状调查报告，制定针对性强切实可行的运动处方，并提供运动处方应用报告，开展公益讲座或培训1-2场，发表论文1篇。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16.俱乐部赛事体系构建与重庆市青少年网球人才培养协同发展研究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考核要求：全面梳理我市青少年网球赛事发展的组织架构和体系，对存在的问题提出解决方案和应对策略，发表论文1篇。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17.“健康中国”背景下体育传统项目学校运动队建设探索研究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考核要求：深入调查体育传统项目学校运动队现状，提供调查报告，探索“健康中国”背景下我市体育传统项目学校运动队建设路径，发表论文1-2篇。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18.重庆市儿童青少年身体素养现状、成因及对策研究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考核要求：通过多种调查方式，提供数据调查方案，提供我市儿童青少年身体素养调查报告，开展公益讲座1-2次。</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19.运动心肺试验对重庆市青少年心肺功能评价及应用的调查研究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考核要求：调查我市青少年运动心肺功能和心肺储备的现状，检测500例以上青少年的运动心肺功能，计算出不同年龄阶段青少年的运动强度的推荐参数，开展科普讲座2-3次，发表论文1篇。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20.篮球运动对青少年身心健康发展的干预研究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考核要求：调查我市青少年身心健康发展的现状，构建篮球运动促进青少年身心健康发展的实施路径，开展公益讲座1-2场，发表论文1-2篇。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21.重庆市大学生骨质状况调查与相关影响因素研究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考核要求：提供我市大学生骨质状况调查报告，开展公益讲座或培训2-3场，发表论文1篇。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22.体医融合背景下，重庆市青少年运动体质健康评估体系研究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考核要求：探索建立基于我市青少年的运动体质健康评估体系，提供适用于青少年的的运动处方，开展公益讲座1-2场，发表论文1-2篇。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23.不同人群运动损伤预防与急救知识掌握程度调查研究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考核要求：提交调查分析报告，提交培训前后运动损伤的预防与急救知识掌握情况对比分析报告，提供运动损伤与急救知识与技能培训指南，开展公益讲座或培训2-3场。</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24.协同管理视角下社会体育指导员社区服务精准化的实践路径研究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考核要求：打造2-3个具体特色的社会体育指导员社区服务精准化样板社区，制定社会体育指导员社区服务指导意见，发表论文1篇。</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25.成渝地区双城经济圈体育竞赛表演业一体化发展研究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考核要求：厘清成渝地区双城经济圈体育竞赛表演业发展现状、困境与发展路径，构建成渝地区双城经济圈体育竞赛表演业一体化发展机制及优化策略。</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26.体育产业与重庆乡村振兴融合发展研究</w:t>
      </w:r>
    </w:p>
    <w:p>
      <w:pPr>
        <w:spacing w:line="60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考核要求：提供我市体育产业和乡村振兴现状调查报告，探索体育产业助力我市乡村振兴的实施路径，及其在乡村振兴中持续发展的长效机制。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27.基于全民健身与全民健康深度融合发展的重庆市大众健身科学性提升路径研究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考核要求：提供我市全民健身现状调查报告，构建提升我市全民健身科学性的实施路径，分类制定科学健身指南，开展公益讲座2-3场。</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28.体教融合背景下，重庆市青少年健康促进体系构建研究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考核要求：通过多种方式调查我市青少年健康现状，提供调查分析报告，立足体教融合探索建立促进我市青少年健康发展的实施路径，构建我市青少年健康促进体系模型，开展公益讲座1-2场。</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29.人</w:t>
      </w:r>
      <w:r>
        <w:rPr>
          <w:rFonts w:hint="eastAsia" w:ascii="Times New Roman" w:hAnsi="Times New Roman" w:eastAsia="方正仿宋_GBK"/>
          <w:spacing w:val="-6"/>
          <w:sz w:val="32"/>
          <w:szCs w:val="32"/>
        </w:rPr>
        <w:t>口老龄化背景下成渝经济圈体养产业融合发展策略研究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考核要求：调研成渝经济圈体育产业与养老产业发展现状，分析存在的问题，研究对策建议，探索建立成渝经济圈“体育+养老”的人口老龄化背景下的产业融合发展模式。</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30.媒介融合视阈下重庆体育产业创新发展研究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考核要求：提供我市体育产业发展现状调查报告，探索我市</w:t>
      </w:r>
      <w:r>
        <w:rPr>
          <w:rFonts w:ascii="Times New Roman" w:hAnsi="Times New Roman" w:eastAsia="方正仿宋_GBK"/>
          <w:sz w:val="32"/>
          <w:szCs w:val="32"/>
        </w:rPr>
        <w:t>体育</w:t>
      </w:r>
      <w:r>
        <w:rPr>
          <w:rFonts w:hint="eastAsia" w:ascii="Times New Roman" w:hAnsi="Times New Roman" w:eastAsia="方正仿宋_GBK"/>
          <w:sz w:val="32"/>
          <w:szCs w:val="32"/>
        </w:rPr>
        <w:t>产业与其他行业</w:t>
      </w:r>
      <w:r>
        <w:rPr>
          <w:rFonts w:ascii="Times New Roman" w:hAnsi="Times New Roman" w:eastAsia="方正仿宋_GBK"/>
          <w:sz w:val="32"/>
          <w:szCs w:val="32"/>
        </w:rPr>
        <w:t>融合发展的路径</w:t>
      </w:r>
      <w:r>
        <w:rPr>
          <w:rFonts w:hint="eastAsia" w:ascii="Times New Roman" w:hAnsi="Times New Roman" w:eastAsia="方正仿宋_GBK"/>
          <w:sz w:val="32"/>
          <w:szCs w:val="32"/>
        </w:rPr>
        <w:t>，提供我市体育产业创新发展的决策建议。</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31.光电枪射击对8-15岁青少年认知能力和视力的影响研究</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考核要求：提供光电枪射击对青少年认知能力和视力影响的咨询报告，开展公益讲座1-2场，发表论文1篇。</w:t>
      </w: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pPr>
        <w:spacing w:line="600" w:lineRule="exact"/>
        <w:rPr>
          <w:rFonts w:hint="eastAsia"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WMzZWY0YzhmYjJkNmJkMzY2OTE3NGZjMDc0MGUifQ=="/>
  </w:docVars>
  <w:rsids>
    <w:rsidRoot w:val="5C3729B5"/>
    <w:rsid w:val="5C37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2022-05-12T09:33:00Z</dcterms:created>
  <dc:creator>殷铭泽</dc:creator>
  <cp:lastModifiedBy>殷铭泽</cp:lastModifiedBy>
  <dcterms:modified xsi:type="dcterms:W3CDTF">2022-05-12T09:34:28Z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CC3CF92A07724869B548E69E79B7F0A6</vt:lpwstr>
  </property>
</Properties>
</file>