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jc w:val="left"/>
      </w:pPr>
      <w:r>
        <w:rPr>
          <w:rFonts w:ascii="方正黑体_GBK" w:hAnsi="方正黑体_GBK" w:eastAsia="方正黑体_GBK" w:cs="方正黑体_GBK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eastAsiaTheme="minorEastAsia"/>
          <w:lang w:eastAsia="zh-CN"/>
        </w:rPr>
      </w:pPr>
      <w:r>
        <w:rPr>
          <w:rFonts w:ascii="方正小标宋_GBK" w:hAnsi="方正小标宋_GBK" w:eastAsia="方正小标宋_GBK" w:cs="方正小标宋_GBK"/>
          <w:color w:val="1A1A1A"/>
          <w:sz w:val="43"/>
          <w:szCs w:val="43"/>
          <w:shd w:val="clear" w:fill="FFFFFF"/>
        </w:rPr>
        <w:t>选题指南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t>1．西部陆海新通道助推重庆对老挝贸易发展研究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2．西部陆海新通道铁海联运能力提升路径研究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3．西部陆海新通道金融服务支撑体系研究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4．西部陆海新通道沿线数据安全管理机制研究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5．基于RCEP的西部陆海新通道与产业协调发展研究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6．西部陆海新通道物流规则制度研究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7．西部陆海新通道沿线跨部门数字化协同监管体系研究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8．西部陆海新通道跨区域数字化运营服务能力提升研究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9．西部陆海新通道跨境数据互联互通机制研究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10．西部陆海新通道国际交流合作机制研究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11．西部陆海新通道合作新模式研究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12．“西部陆海新通道+经贸+产业”联动效应研究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13．西部陆海新通道产业走廊建设的重点及政策研究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340B23D-5174-44B9-B162-6BF8FB0F5AD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940820F-6291-41B8-8CE4-82CF537A5C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WMzZWY0YzhmYjJkNmJkMzY2OTE3NGZjMDc0MGUifQ=="/>
  </w:docVars>
  <w:rsids>
    <w:rsidRoot w:val="00000000"/>
    <w:rsid w:val="7717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287</Characters>
  <Lines>0</Lines>
  <Paragraphs>0</Paragraphs>
  <TotalTime>1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2023-06-08T01:17:58Z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666BF0D7540C40F9AD9B83046C8C6760_12</vt:lpwstr>
  </property>
</Properties>
</file>